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Alvotech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Carmen Andre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Celtic Holdings S.C.A., 29, Avenue de la Porte-Neuve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Grand-Duchy of Luxembourg, N4, L-2227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35220880825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Celtic Holdings S.C.A.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LUXEMBOURG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8, 10, and 11: Through intermediary holding entities, Celtic Lux Holdings S.a r.l. ("Celtic Lux") is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wholly-owned subsidiary of Celtic Holdings S.C.A. ("Celtic Holdings"). Investment and voting decisions at Celtic</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Holdings are made by a majority vote of its board of directors, subject to certain shareholders having consent rights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over material actions and decisions of Celtic Holdings. Therefore, no individual director of Celtic Holdings is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 of the securities, except with respect to the shares in which such director holds a pecuniary interest.</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Note to Row 13: Based on an aggregate of 390,431,480 Ordinary Shares outstanding as of the consummation of the Issuer's public offering and concurrent private placement as reported in the Issuer's Report on 6-K and the exhibit attached thereto, as filed with the Securities and Exchange Commission on June 18,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Celtic Lux Holdings S.a 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BK, 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LUXEMBOURG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107,450,988.00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27.5 %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8, 10, and 11: Through intermediary holding entities, Celtic Lux Holdings S.a r.l. ("Celtic Lux") is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wholly-owned subsidiary of Celtic Holdings S.C.A. ("Celtic Holdings"). Investment and voting decisions at Celtic</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Holdings are made by a majority vote of its board of directors, subject to certain shareholders having consent rights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over material actions and decisions of Celtic Holdings. Therefore, no individual director of Celtic Holdings is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 owner of the securities, except with respect to the shares in which such director holds a pecuniary interest.</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Note to Row 13: Based on an aggregate of 390,431,480 Ordinary Shares outstanding as of the consummation of the Issuer's public offering and concurrent private placement as reported in the Issuer's Report on 6-K and the exhibit attached thereto, as filed with the Securities and Exchange Commission on June 18,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Alvotech</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 Rue de Bitbourg, Grand Duchy of Luxembourg, LUXEMBOURG , L-1273.</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(the "Amendment") amends and supplements the Schedule 13D (the "Schedule 13D")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the United States Securities and Exchange Commission (the "SEC") on June 27, 2022, as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filed on July 15, 2022 and Amendment No. 2 filed on November 18, 2022 (as amended, the "Schedule 13D"), with respect to the Ordinary Shares of Alvotech, a public limited company (societe anonyme) incorporated and existing under the laws of the Grand Duchy of Luxembourg, having its registered office at 9, Rue de Bitbourg, L-1273 Luxembourg, Grand Duchy of Luxembourg and registered with the Luxembourg Register of Commerce and Companies (R.C.S. Luxembourg) under number B258884 (the "Issuer"), by Celtic Lux Holdings S.a r.l. (formerly known as Alvogen Lux Holdings S.a r.l., "Celtic Lux"), a private limited liability company (societe a responsabilite limitee) domiciled in Luxembourg, with an address of 5, rue Heienhaff, L-1736 Senningerberg,</w:t>
      </w:r>
    </w:p>
    <w:p>
      <w:pPr>
        <w:sectPr>
          <w:pgSz w:w="11900" w:h="16838" w:orient="portrait"/>
          <w:cols w:equalWidth="0" w:num="1">
            <w:col w:w="11240"/>
          </w:cols>
          <w:pgMar w:left="320" w:top="111" w:right="339" w:bottom="0" w:gutter="0" w:footer="0" w:header="0"/>
        </w:sectPr>
      </w:pPr>
    </w:p>
    <w:bookmarkStart w:id="3" w:name="page4"/>
    <w:bookmarkEnd w:id="3"/>
    <w:p>
      <w:pPr>
        <w:jc w:val="both"/>
        <w:ind w:left="960"/>
        <w:spacing w:after="0" w:line="234" w:lineRule="auto"/>
        <w:rPr>
          <w:sz w:val="20"/>
          <w:szCs w:val="20"/>
          <w:color w:val="auto"/>
        </w:rPr>
      </w:pPr>
      <w:r>
        <w:rPr>
          <w:rFonts w:ascii="Times New Roman" w:cs="Times New Roman" w:eastAsia="Times New Roman" w:hAnsi="Times New Roman"/>
          <w:sz w:val="22"/>
          <w:szCs w:val="22"/>
          <w:color w:val="auto"/>
        </w:rPr>
        <w:t>Luxembourg, Grand-Duchy of Luxembourg, and Celtic Holdings S.C.A. ("Celtic Holdings" and together with Celtic Lux, the "Reporting Persons"), a partnership limited by shares (societe en commandite par actions) incorporated and existing under the laws of the Grand Duchy of Luxembourg, having its registered office at 29, Avenue de la Porte-Neuve, L-2227 Luxembourg, Grand-Duchy of Luxembourg and registered with the Luxembourg Register of Commerce and Companies (R.C.S. Luxembourg) under number B 197804. Capitalized terms used but not defined herein shall have the meanings ascribed to them in the Schedule 13D. The information set forth in response to each separate Item below shall be deemed to be a response to all Items where such information is relevant. Items 3, 4, and 6 to the Schedule 13D are supplementally amended as follows, and Item 5 to the Schedule 13D is amended and restated as follows</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80"/>
        <w:spacing w:after="0" w:line="256" w:lineRule="auto"/>
        <w:rPr>
          <w:sz w:val="20"/>
          <w:szCs w:val="20"/>
          <w:color w:val="auto"/>
        </w:rPr>
      </w:pPr>
      <w:r>
        <w:rPr>
          <w:rFonts w:ascii="Times New Roman" w:cs="Times New Roman" w:eastAsia="Times New Roman" w:hAnsi="Times New Roman"/>
          <w:sz w:val="22"/>
          <w:szCs w:val="22"/>
          <w:color w:val="auto"/>
        </w:rPr>
        <w:t>Item 3 is hereby amended and supplemented as follows: The Ordinary Shares acquired in the PIPE Investment (as defined in Item 4 below) were funded through the proceeds of the Loan (as defined in Item 6 below).</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4 is hereby amended and supplemented as follows: On June 26, 2026, Celtic Lux purchased aggregate of 10,133,333 Ordinary Shares, at a price of $3.75 per share, for an aggregate investment of $38,000,000 (such investment, the "PIPE Investment") pursuant to the terms of a subscription agreement (the "Subscription Agreement") dated June 16, 2026, by and between Celtic Lux and the Issuer. In connection with the PIPE Investment, pursuant to the Subscription Agreement, Celtic Lux was granted registration rights pursuant to which Celtic Lux may, at any time and from time to time, make a written demand for registration under the Securities Act of 1933, as amended, of all or any portion of the shares purchased by it in the PIPE Investment on any available form of registration statement (a "Demand Registration"), including by way of an underwritten offering with underwriters selected by Celtic Lux and reasonably acceptable to the Issuer. The Issuer is obligated, using its reasonable best efforts and as expeditiously as possible after receipt of such demand, to prepare and file with the SEC a registration statement covering the resale of such shares and to keep such registration statement effective until all such shares have been disposed of or withdrawn. The Issuer is not obligated to effect more than two (2) Demand Registrations in total. The Issuer has the right to defer any Demand Registration for up to 60 days in total, or 30 consecutive days, in any 12-month period if the Issuer's board of directors determines in good faith that effecting the registration at that time would be materially detrimental to the Issuer and its shareholders. All costs and expenses incurred in connection with a Demand Registration are to be borne by the Issuer. The Issuer also agreed to provide customary indemnification to Celtic Lux in connection with its registration rights. The foregoing description of the PIPE Investment is qualified in its entirety by reference to the Subscription Agreement, which is filed as Exhibit 9 to this Amendment.</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Item 5 is hereby amended and restated in its entirety as follows: The information set forth in the facing pages of this Schedule 13D with respect to the beneficial ownership of the Reporting Persons is incorporated by reference into this Item 5. The aggregate number of Ordinary Shares owned by the Reporting Persons is 107,450,988 shares. The</w:t>
      </w:r>
    </w:p>
    <w:p>
      <w:pPr>
        <w:spacing w:after="0" w:line="1" w:lineRule="exact"/>
        <w:rPr>
          <w:sz w:val="20"/>
          <w:szCs w:val="20"/>
          <w:color w:val="auto"/>
        </w:rPr>
      </w:pPr>
    </w:p>
    <w:p>
      <w:pPr>
        <w:ind w:left="920" w:right="4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aggregate percentage of beneficial ownership is approximately 27.5%. References to percentage ownership of Ordinary Shares in this Schedule 13D are based on an aggregate of 390,431,480 Ordinary Shares outstanding as of the consummation of the Issuer's public offering and concurrent private placement as reported in the Issuer's Report on Form 6-K and the exhibit attached thereto, as filed with the SEC on June 18,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Reporting Person, the number of shares as to which there is sole power to vote or to direct the vote, shared</w:t>
      </w:r>
    </w:p>
    <w:p>
      <w:pPr>
        <w:spacing w:after="0" w:line="14" w:lineRule="exact"/>
        <w:rPr>
          <w:rFonts w:ascii="Times New Roman" w:cs="Times New Roman" w:eastAsia="Times New Roman" w:hAnsi="Times New Roman"/>
          <w:sz w:val="22"/>
          <w:szCs w:val="22"/>
          <w:color w:val="auto"/>
        </w:rPr>
      </w:pPr>
    </w:p>
    <w:p>
      <w:pPr>
        <w:ind w:left="920" w:right="12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transactions described in Items 3, 4, and 6 of this Schedule 13D, the Reporting Persons have not engaged in any transaction during the past 60 days involving the Ordinary Shares of the Issuer.</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To the best knowledge of the Reporting Persons, no one other than the Reporting Persons, or the affiliates of the</w:t>
      </w:r>
    </w:p>
    <w:p>
      <w:pPr>
        <w:spacing w:after="0" w:line="14" w:lineRule="exact"/>
        <w:rPr>
          <w:rFonts w:ascii="Times New Roman" w:cs="Times New Roman" w:eastAsia="Times New Roman" w:hAnsi="Times New Roman"/>
          <w:sz w:val="39"/>
          <w:szCs w:val="39"/>
          <w:color w:val="auto"/>
          <w:vertAlign w:val="subscript"/>
        </w:rPr>
      </w:pPr>
    </w:p>
    <w:p>
      <w:pPr>
        <w:ind w:left="920" w:right="520" w:hanging="912"/>
        <w:spacing w:after="0" w:line="256"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Persons, is known to have the right to receive, or the power to direct the receipt of, dividends from, or proceeds from the sale of, the Ordinary Shares reported herein as beneficially owned by the Reporting Persons.</w:t>
      </w: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Item 6 is hereby amended and supplemented as follows: Item 4 above summarizes certain provisions of the contracts, arrangements, understandings and relationships among the Reporting Persons with respect to the PIPE Investment and is incorporated herein by reference. Copies of the agreements summarized in Item 4 and in this Item 6 are attached as exhibits to this Schedule 13D and are incorporated herein by reference. Other than as described in this Item 6 and in Items 3, 4 and 5, which disclosure is incorporated into this Item 6 by reference, to the Reporting Persons' knowledge, there are no contracts, arrangements, understandings or relationships (legal or otherwise) among the Reporting Persons and between the Reporting Persons and any person with respect to any securities of the Issuer. In connection with the Issuer's underwritten public offering of Ordinary Shares, on June 10, 2026, Celtic Lux entered into a lock-up agreement (the "Lock-Up Agreement") for the benefit of the underwriters of such public offering, which provides that, during the period beginning on June 10, 2026 and ending on the date that is 90 days after the date of the Issuer's prospectus supplement to its registration statement (File No. 333-275111) filed pursuant to Rule 424(b)(5) with the SEC on June 16, 2026, Celtic Lux will not sell, offer to sell, enter into any swap, with respect to, make any demand for or exercise any registration rights, or publicly announce the intent to do the foregoing. The Lock-Up Agreement applies to all Ordinary Shares and securities convertible into or exchangeable or exercisable for Ordinary Shares held by Celtic Lux. The Lock-Up Agreement contains certain customary exceptions, including</w:t>
      </w:r>
    </w:p>
    <w:p>
      <w:pPr>
        <w:sectPr>
          <w:pgSz w:w="11900" w:h="16838" w:orient="portrait"/>
          <w:cols w:equalWidth="0" w:num="1">
            <w:col w:w="11160"/>
          </w:cols>
          <w:pgMar w:left="360" w:top="112" w:right="379" w:bottom="0" w:gutter="0" w:footer="0" w:header="0"/>
        </w:sectPr>
      </w:pPr>
    </w:p>
    <w:bookmarkStart w:id="4" w:name="page5"/>
    <w:bookmarkEnd w:id="4"/>
    <w:p>
      <w:pPr>
        <w:ind w:left="920" w:right="20"/>
        <w:spacing w:after="0" w:line="232" w:lineRule="auto"/>
        <w:rPr>
          <w:sz w:val="20"/>
          <w:szCs w:val="20"/>
          <w:color w:val="auto"/>
        </w:rPr>
      </w:pPr>
      <w:r>
        <w:rPr>
          <w:rFonts w:ascii="Times New Roman" w:cs="Times New Roman" w:eastAsia="Times New Roman" w:hAnsi="Times New Roman"/>
          <w:sz w:val="22"/>
          <w:szCs w:val="22"/>
          <w:color w:val="auto"/>
        </w:rPr>
        <w:t>transfers to any bank pursuant to a bona fide pledge to secure indebtedness. The foregoing description of the Lock-Up Agreement is qualified in its entirety by reference to the Lock-Up Agreement, which is filed as Exhibit 10 to this Amendment. In connection with the PIPE Investment, on June 26, 2026, Celtic Lux entered into a facility agreement (the "Facility Agreement") with the lenders party thereto ("Lenders"), Global Loan Agency Services Limited, as agent, GLAS Trust Corporation Limited, as security agent, and Celtic Bidco S.a r.l., as third party security provider, to obtain a senior secured term loan facility of $40,000,000 (the "Loan"), the proceeds of which are to be used solely to fund the PIPE Investment and related transaction costs. As of June 26, 2026, Celtic Lux has borrowed an aggregate of $40,000,000 under the Facility Agreement. The Loan matures on the date that is 12 months after the date of the first utilization of the Loan, or earlier upon the occurrence of certain events set forth in the Facility Agreement. The Loan will not accrue interest except that if an event of default has occurred and is continuing, interest will accrue at a rate of 2% per annum. Upon cancellation, prepayment, repayment or acceleration of the Loan during the first 6 months, 9 months, or 12 months of the term, respectively, Celtic Lux will repay an amount equal to the principal amount of such amount being cancelled, prepaid, repaid or accelerated together with a prepayment fee. The Loan (together with all other amounts due under the Facility Agreement) is secured by, among other security, a pledge of all of the Ordinary Shares of the Issuer held by Celtic Lux, including the shares purchased in the PIPE Investment (the "Pledged Shares"). The Reporting Persons retain voting and dividend rights with respect to the Pledged Shares at all times prior to an event of default under the Loan. Upon the occurrence of certain events of default that are customary for these type of loans, the Agent and the Security Agent, on behalf of the Lenders, may declare the Loan immediately due and payable, may pursuant to a voting proxy exercise voting rights with respect to the Pledged Shares, and may exercise its rights to foreclose on, and dispose of, the Pledged Shares and other collateral. The foregoing description of the Facility Agreement is qualified in its entirety by reference to the Facility Agreement, which is filed as Exhibit 11 to this Amendment.</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firstLine="6"/>
        <w:spacing w:after="0" w:line="235" w:lineRule="auto"/>
        <w:tabs>
          <w:tab w:leader="none" w:pos="11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Subscription Agreement (incorporated by reference to Exhibit 10.1 to the Report on Form 6-K filed by the Issuer on June 17, 2026). 10.* Lock-Up Agreement, dated June 10, 2026, by Celtic Lux Holdings S.a r.l. 11.*+# Facility Agreement, dated June 26, 2026, by and among Celtic Lux Holdings S.a r.l., Celtic Bidco S.a r.l., certain financial institutions as lenders, Global Loan Agency Services Limited as agent, and GLAS Trust Corporation Limited as security agent. *Filed herewith. + Certain schedules and attachments to this exhibit have been omitted in accordance with Item 601(a)(5) of Regulation S-K. The Reporting Persons agree to furnish supplementally to the SEC a copy of all omitted schedules and attachments upon request. # Portions of this exhibit have been redacted in compliance with Regulation S-K Item 601(b)(10)(iv).</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Celtic Holdings S.C.A.</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Carmen Andre</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Carmen Andre/Class A Director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Celtic Lux Holdings S.a r.l.</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Ekman</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Tomas Ekman/Class A Director</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05" w:lineRule="auto"/>
        <w:rPr>
          <w:sz w:val="20"/>
          <w:szCs w:val="20"/>
          <w:color w:val="auto"/>
        </w:rPr>
      </w:pPr>
      <w:r>
        <w:rPr>
          <w:rFonts w:ascii="Times New Roman" w:cs="Times New Roman" w:eastAsia="Times New Roman" w:hAnsi="Times New Roman"/>
          <w:sz w:val="18"/>
          <w:szCs w:val="18"/>
          <w:color w:val="auto"/>
        </w:rPr>
        <w:t>55 East 52nd Street,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Alvotech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undersigned is an owner of ordinary shares, nominal value $0.01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BofA Securities, Inc., Jefferies LLC and Evercore Group L.L.C. will act as the representatives of the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pursuant to the terms of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other underwriting arrangements with the Company with respect to the Offering.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agreement. Those definitions are a part of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p>
      <w:pPr>
        <w:spacing w:after="0" w:line="176" w:lineRule="exact"/>
        <w:rPr>
          <w:sz w:val="20"/>
          <w:szCs w:val="20"/>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The foregoing will not apply to the registration of the offer and sale of the Shares, and the sale of the Shares to the underwriters, in each case as contemplated by the Underwriting Agreement. In addition, the foregoing restrictions shall not apply to: (a) the transfer of Shares or Related Securities by gift, whether to a Family Member or to a trust whose beneficiaries consist exclusively of one or more of the undersigned and/or a Family Member, or to a charitable organization as a bona fide gift or charitable contribution, or otherwise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transfer is not for value, (ii) if required during the Lock-up Period, any public report or filing shall clearly indicate in the footnotes thereto that such transfer is being made pursuant to the circumstances described in this clause (a), and (iii) the undersigned does not otherwise voluntarily effect any other public filing or report regarding such transfers during the Lock-up Period; (b) the transfer of Shares or Related Securities by will or intestate succession to a Family Member or to a trust whose beneficiaries consist exclusively of one or more of the undersigned and/or a Family Member; (c) the transfer of Shares or Related Securities by operation of law, such as pursuant to a court order, order of a regulatory agency, or settlement agreement, or pursuant to statutes governing the effects of a qualified domestic order or divorce settlement related to the distribution of assets in connection with the dissolution of a marriage or civil union; (d) the entry into any trading plan established pursuant to Rule 10b5-1 of the Exchange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permit dispositions or sales of Shares or any Related Securities during the Lock-up Period and (ii) to the extent a public announcement or filing under the Exchange Act, if any, is required by or on behalf of the undersigned or the Company regarding the establishment of such plan, such announcement or filing shall include a statement to the effect that no transfer of Shares or Related Securities may be made under such plan during the Lock-up Period; (e) the transfer of the undersigned’s Shares or Related Securities pursuant to a sale of or an offer to purchase shares of the Company representing a change of control of the Company, in a transaction approved by the Company’s board of directors, whether pursuant to a merger, tender offer or otherwise, to a third party or group of third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merger, tender offer or other such transaction is not completed, the Shares and Related Securities owned by the undersigned shall remain subject to the restrictions contained in this letter agreement,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“change of control” as used herein shall mean one or a series of related transactions the result of which any person or group becomes the beneficial owner (as defined in Rule 13d-3 under the Exchange Act) of more than 50% of all of the voting shares of the Company; (f) the transfer of Shares or Related Securities acquired in the Offering or in open market purchases following the Offering;</w:t>
      </w:r>
    </w:p>
    <w:p>
      <w:pPr>
        <w:spacing w:after="0" w:line="206" w:lineRule="exact"/>
        <w:rPr>
          <w:sz w:val="20"/>
          <w:szCs w:val="20"/>
          <w:color w:val="auto"/>
        </w:rPr>
      </w:pPr>
    </w:p>
    <w:p>
      <w:pPr>
        <w:jc w:val="both"/>
        <w:ind w:firstLine="8"/>
        <w:spacing w:after="0" w:line="251"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the undersigned’s Shares or Related Securities pursuant to the pledge of such Shares or Related Securities to any bank pursuant to any bona fide pledge to secure indebtedness (a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(e.g., for a margin loan) and any further Pledge of all or any portion of such Shares or Related Securities pursuant to any amendments, supplements, modifications, extensions, renewals or restatements of the agreement related to any such Pledge, any refunding or refinancing of the indebtedness secured thereby or any credit facilities that replace, refund or refinance any part of the indebtedness secured thereby, including any such replacement, refunding or refinancing credit facility that increases the amount permitted to be borrowed thereunder or alters the maturity therefor; and (h) if the undersigned is a non-individual, transfer of Shares or Related Securities to any subsidiary or affiliate (as such term is defined in Rule 405 of the Securities Act),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the limited partners, general partners, limited liability company members or stockholders of the undersigned, or of any such subsidiary, affiliate, or investment fund or other entity, or if the undersigned is an individual, to any corporation, partnership, limited liability company, or other entity of which the legal and beneficial owner consists solely of undersigned and/or a Family Member, if, in any such case, such transfer is not for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Notwithstanding the foregoing, in the case of any transfer described in clauses (a), (b) and (h) above, it shall be a condition to such transfer that: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transferee executes and delivers to Representatives an agreement in form and substance satisfactory to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clause (a) above,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underwriters may be required or choose to provide certain disclosures to you under the Regulation Best Interest and Form CRS under the Exchange Act in connection with the Offering, the underwriters are not making a recommendation to you to enter into this letter agreement or participate in this Offering, and nothing set forth in such disclosures is intended to suggest that the underwriters are making such a recommendation.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agreement will automatically terminate upon the earliest to occur, if any, of (a) the date the Company, or the Representatives on behalf of the Underwriters, advises the other party in writing, prior to the execution of the Underwriting Agreement, that it has determined not to proceed with the Offering, (b) the date of the termination of the Underwriting Agreement if prior to the closing of the Offering and (c) June 30, 2026 if the Underwriting Agreement has not been executed and delivered by the Company by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28543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Authorized Signatory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0" w:lineRule="exact"/>
        <w:rPr>
          <w:sz w:val="20"/>
          <w:szCs w:val="20"/>
          <w:color w:val="auto"/>
        </w:rPr>
      </w:pPr>
    </w:p>
    <w:p>
      <w:pPr>
        <w:spacing w:after="0" w:line="250"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EN-4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179"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22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sell, offer to sell, contract to sell or lend,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effect any short sale or establish or increase a Put Equivalent Position or liquidate or decrease any Call Equivalent Position</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pledge, hypothecate or grant any security interest in, or</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any other way transfer or dispose 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221" w:lineRule="exact"/>
        <w:rPr>
          <w:sz w:val="20"/>
          <w:szCs w:val="20"/>
          <w:color w:val="auto"/>
        </w:rPr>
      </w:pPr>
    </w:p>
    <w:p>
      <w:pPr>
        <w:ind w:left="98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lock-up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REPORTING PERSONS HAVE DETERMINED THAT IT IS BOTH NOT MATERIAL AND IS THE TYPE THAT THE REPORTING PERSONS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CELTIC BIDCO S.À R.L.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Third Party Security Provider)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CELTIC LUX HOLDINGS S.À R.L.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FINANCIAL INSTITUTIONS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the Lenders)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LOAN AGENCY SERVICES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GLAS TRUST CORPORATION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Security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SIDLEY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 St. Mary Axe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 EC3A 8BE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www.sidley.com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986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6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The Facilities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Conditions of Utilisation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Utilisation – Loans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Illegality, Voluntary Prepayment and Cancellation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Mandatory Prepayment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Restrictions and Call Price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Default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Increased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Indemnities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Mitigation by the Lenders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Information and Accounting Undertakings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General Undertakings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Changes to the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Restriction on Debt Purchase Transactions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Changes to the Company and third party security provider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Role of the Agent and Others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Application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Conduct of Business by the Finance 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Sharing among the Finance 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Payment Mechanics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Contractual recognition of Bail-In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Set-Off</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33</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Calculations and Certificates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34</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Partial Invalidity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35</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Remedies and Waivers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Amendments and Waivers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37</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38</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39</w:t>
            </w:r>
          </w:p>
        </w:tc>
        <w:tc>
          <w:tcPr>
            <w:tcW w:w="9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w:t>
            </w:r>
          </w:p>
        </w:tc>
        <w:tc>
          <w:tcPr>
            <w:tcW w:w="9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Enforcement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12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1 The original Lenders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Conditions Precedent to Utilisation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3 Form of Utilisation Request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Form of Transfer Certificate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5 Form of Assignment Agreement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Compliance Certificates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 1 Form of Monthly Compliance Certificate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Forms of Notifiable Debt Purchase Transaction Notice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 1 Form of Notice on Entering into Notifiable Debt Purchase Transaction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 2 Form of Notice on Termination of Notifiable Debt Purchase Transaction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26 June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CELTIC BIDCO S.À R.L., </w:t>
      </w:r>
      <w:r>
        <w:rPr>
          <w:rFonts w:ascii="Times New Roman" w:cs="Times New Roman" w:eastAsia="Times New Roman" w:hAnsi="Times New Roman"/>
          <w:sz w:val="18"/>
          <w:szCs w:val="18"/>
          <w:color w:val="auto"/>
        </w:rPr>
        <w:t>a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incorporated and existing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Grand Duchy of Luxembourg, having its registered office at 29, Avenue de la Porte-Neuve, L-2227 Luxembourg and registered with the Luxembourg Register of Commerce and Companies (Registre de Commerce et des Sociétés, Luxembourg) under number B197876 (the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Security Provider</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CELTIC LUX HOLDINGS S.À R.L.</w:t>
      </w:r>
      <w:r>
        <w:rPr>
          <w:rFonts w:ascii="Times New Roman" w:cs="Times New Roman" w:eastAsia="Times New Roman" w:hAnsi="Times New Roman"/>
          <w:sz w:val="18"/>
          <w:szCs w:val="18"/>
          <w:color w:val="auto"/>
        </w:rPr>
        <w:t>, a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established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Grand Duchy of Luxembourg, having its registered office at 5, Heienhaff, L-1736 Senningerberg, Luxembourg and registered with the Luxembourg Register of Commerce and Companies (</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under number B149045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Lenders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LOAN AGENCY SERVICES LIMITED</w:t>
      </w:r>
      <w:r>
        <w:rPr>
          <w:rFonts w:ascii="Times New Roman" w:cs="Times New Roman" w:eastAsia="Times New Roman" w:hAnsi="Times New Roman"/>
          <w:sz w:val="18"/>
          <w:szCs w:val="18"/>
          <w:color w:val="auto"/>
        </w:rPr>
        <w:t>, as agent of the other Finance Parties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GLAS TRUST CORPORATION LIMITED, </w:t>
      </w:r>
      <w:r>
        <w:rPr>
          <w:rFonts w:ascii="Times New Roman" w:cs="Times New Roman" w:eastAsia="Times New Roman" w:hAnsi="Times New Roman"/>
          <w:sz w:val="18"/>
          <w:szCs w:val="18"/>
          <w:color w:val="auto"/>
        </w:rPr>
        <w:t>as security agent for the Secured Parties (the “</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financial institution which has a long term unsecured rating of at least BBB+ by Standard &amp; Poor’s Rating Services or Fitch Ratings Ltd or at least Baa1 by Moody’s Investor Services Limited or a comparable rating from an internationally recognised credit rating agency;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or any Affiliate of a Finance Party;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bank or financial institution approved by the Majority Lenders (acting reasonably).</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Principles</w:t>
      </w:r>
      <w:r>
        <w:rPr>
          <w:rFonts w:ascii="Times New Roman" w:cs="Times New Roman" w:eastAsia="Times New Roman" w:hAnsi="Times New Roman"/>
          <w:sz w:val="18"/>
          <w:szCs w:val="18"/>
          <w:color w:val="auto"/>
        </w:rPr>
        <w:t>” means, in respect of the Company or any other member of the Group, IFRS or the accounting principles applicable to it in its jurisdiction of incorporation, in each case to the extent applicable to the relevant financial statements and as applied by the Company or the relevant member of the Group from time to time (provided that any changes to such principles shall be governed in accordance with Clause 18.8 (</w:t>
      </w:r>
      <w:r>
        <w:rPr>
          <w:rFonts w:ascii="Times New Roman" w:cs="Times New Roman" w:eastAsia="Times New Roman" w:hAnsi="Times New Roman"/>
          <w:sz w:val="18"/>
          <w:szCs w:val="18"/>
          <w:i w:val="1"/>
          <w:iCs w:val="1"/>
          <w:color w:val="auto"/>
        </w:rPr>
        <w:t>Agreed Accounting Principles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Reference Date</w:t>
      </w:r>
      <w:r>
        <w:rPr>
          <w:rFonts w:ascii="Times New Roman" w:cs="Times New Roman" w:eastAsia="Times New Roman" w:hAnsi="Times New Roman"/>
          <w:sz w:val="18"/>
          <w:szCs w:val="18"/>
          <w:color w:val="auto"/>
        </w:rPr>
        <w:t>” means 31 December.</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right="20"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the spot rate of exchange as obtained by the Agent for the purchase of the relevant currency with the Base Currency in the London foreign exchange market at or about 11.00 a.m. on a particular day;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does not obtain an available spot rate of exchange) any publicly available spot rate of exchange selected by the Agent (acting reasonably) for the purchase of the relevant currency with the Base Currency in the London foreign exchange market at or about 11.00 a.m. on a particular day.</w:t>
      </w:r>
    </w:p>
    <w:p>
      <w:pPr>
        <w:spacing w:after="0" w:line="172"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w:t>
      </w:r>
      <w:r>
        <w:rPr>
          <w:rFonts w:ascii="Times New Roman" w:cs="Times New Roman" w:eastAsia="Times New Roman" w:hAnsi="Times New Roman"/>
          <w:sz w:val="18"/>
          <w:szCs w:val="18"/>
          <w:color w:val="auto"/>
        </w:rPr>
        <w:t>” means Alvotech ((which assumed all the rights and obligations of Alvotech Holdings S.A. following completion of the statutory merger between Alvotech S.A and Alvotech Holdings S.A. on 16 June 2022)),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the Grand Duchy of Luxembourg, having its registered office at 9, Rue de Bitbourg, L-1273 Luxembourg Grand Duchy of Luxembourg, and registered with the Luxembourg Trade and Companies’ Register under number B258884.</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 LTV</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 LTV Shares</w:t>
      </w:r>
      <w:r>
        <w:rPr>
          <w:rFonts w:ascii="Times New Roman" w:cs="Times New Roman" w:eastAsia="Times New Roman" w:hAnsi="Times New Roman"/>
          <w:sz w:val="18"/>
          <w:szCs w:val="18"/>
          <w:color w:val="auto"/>
        </w:rPr>
        <w:t>” means the Existing Alvotech Stake and the New Alvotech Stake.</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 Side Letter Agreement</w:t>
      </w:r>
      <w:r>
        <w:rPr>
          <w:rFonts w:ascii="Times New Roman" w:cs="Times New Roman" w:eastAsia="Times New Roman" w:hAnsi="Times New Roman"/>
          <w:sz w:val="18"/>
          <w:szCs w:val="18"/>
          <w:color w:val="auto"/>
        </w:rPr>
        <w:t>” means the side letter dated on or about the date hereof and made between the Agent, the Company and Alvotech in relation to cooperation by Alvotech in respect of a sale of the Shares.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has the meaning given to it in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an agreement substantially in the form set out in Schedule 5 (</w:t>
      </w:r>
      <w:r>
        <w:rPr>
          <w:rFonts w:ascii="Times New Roman" w:cs="Times New Roman" w:eastAsia="Times New Roman" w:hAnsi="Times New Roman"/>
          <w:sz w:val="18"/>
          <w:szCs w:val="18"/>
          <w:i w:val="1"/>
          <w:iCs w:val="1"/>
          <w:color w:val="auto"/>
        </w:rPr>
        <w:t>Form of Assignment Agreement</w:t>
      </w:r>
      <w:r>
        <w:rPr>
          <w:rFonts w:ascii="Times New Roman" w:cs="Times New Roman" w:eastAsia="Times New Roman" w:hAnsi="Times New Roman"/>
          <w:sz w:val="18"/>
          <w:szCs w:val="18"/>
          <w:color w:val="auto"/>
        </w:rPr>
        <w:t>) or any other form agreed between the relevant assignor and assignee.</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any firm of independent accountants appointed by the Company as its auditors from time to time, having the relevant capabilities and expertise to perform an audit of a group of companies such as the Restricted Group (in the Company’s reasonable opinion).</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 in each case required by any applicable law or regulation.</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date of this Agreement to (and including) the date falling 5 Business Days after the date of this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in relation to a Facility, a Lender’s Commitment under that Facility minus:</w:t>
      </w:r>
    </w:p>
    <w:p>
      <w:pPr>
        <w:spacing w:after="0" w:line="229" w:lineRule="exact"/>
        <w:rPr>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its aggregate participation in any outstanding Utilisations under that Facility;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the amount of its participation in any other Utilisations that are due to be made under that Facility on or before the proposed Utilisation Date.</w:t>
      </w:r>
    </w:p>
    <w:p>
      <w:pPr>
        <w:spacing w:after="0" w:line="158"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in relation to a Facility, the aggregate for the time being of each Lender’s Available Commitment in respect of that Facility.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5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Levy</w:t>
      </w:r>
      <w:r>
        <w:rPr>
          <w:rFonts w:ascii="Times New Roman" w:cs="Times New Roman" w:eastAsia="Times New Roman" w:hAnsi="Times New Roman"/>
          <w:sz w:val="18"/>
          <w:szCs w:val="18"/>
          <w:color w:val="auto"/>
        </w:rPr>
        <w:t>” means any amount payable by any Finance Party or any of its Affiliates on the basis of, or in relation to, its balance sheet or capital base or any part of that person or its liabilities or minimum regulatory capital or any combination thereof, including, without limitation:</w:t>
      </w:r>
    </w:p>
    <w:p>
      <w:pPr>
        <w:spacing w:after="0" w:line="159" w:lineRule="exact"/>
        <w:rPr>
          <w:sz w:val="20"/>
          <w:szCs w:val="20"/>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bank levy as set out in the Finance Act 2011;</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French taxe bancaire de risque systémique as set out in Article 235 ter ZE of the French Code Général des impôts;</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German bank levy as set out in the German Restructuring Fund Act 2010 (</w:t>
      </w:r>
      <w:r>
        <w:rPr>
          <w:rFonts w:ascii="Times New Roman" w:cs="Times New Roman" w:eastAsia="Times New Roman" w:hAnsi="Times New Roman"/>
          <w:sz w:val="18"/>
          <w:szCs w:val="18"/>
          <w:i w:val="1"/>
          <w:iCs w:val="1"/>
          <w:color w:val="auto"/>
        </w:rPr>
        <w:t>Restrukturierungsfondsgesetz</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Dutch bankenbelasting as set out in the bank levy act (</w:t>
      </w:r>
      <w:r>
        <w:rPr>
          <w:rFonts w:ascii="Times New Roman" w:cs="Times New Roman" w:eastAsia="Times New Roman" w:hAnsi="Times New Roman"/>
          <w:sz w:val="18"/>
          <w:szCs w:val="18"/>
          <w:i w:val="1"/>
          <w:iCs w:val="1"/>
          <w:color w:val="auto"/>
        </w:rPr>
        <w:t>Wet bankenbelasting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20" w:hanging="644"/>
        <w:spacing w:after="0" w:line="284"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Swedish bank levy as set out in the Swedish Act on State Support to Credit Institutions (Sw. lag (</w:t>
      </w:r>
      <w:r>
        <w:rPr>
          <w:rFonts w:ascii="Times New Roman" w:cs="Times New Roman" w:eastAsia="Times New Roman" w:hAnsi="Times New Roman"/>
          <w:sz w:val="18"/>
          <w:szCs w:val="18"/>
          <w:i w:val="1"/>
          <w:iCs w:val="1"/>
          <w:color w:val="auto"/>
        </w:rPr>
        <w:t>2015:1017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 förebyggande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statligt stöd till kreditinstitut</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levy or tax of a similar nature in force as at the date of this Agreement or (if applicable) in respect of any New Lender, as at the date that New Lender accedes as a Lender to this Agreement and imposed in any jurisdiction by reference to the assets or liabilities of a financial institution or other entity carrying out financial transactions, and</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each case in relation to which a Lender would reasonably be able to quantify the relevant Increased Cost or loss or liability or cost for or on account of tax (as applicable) as at the date of this Agreement or (if applicable) in respect of any New Lender, as at the date that New Lender accedes as a Lender to this Agreement.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means USD.</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London, the Grand Duchy of Luxembourg, New York, Iceland, and Sweden.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Price</w:t>
      </w:r>
      <w:r>
        <w:rPr>
          <w:rFonts w:ascii="Times New Roman" w:cs="Times New Roman" w:eastAsia="Times New Roman" w:hAnsi="Times New Roman"/>
          <w:sz w:val="18"/>
          <w:szCs w:val="18"/>
          <w:color w:val="auto"/>
        </w:rPr>
        <w:t>” has the meaning given to that term in Clause 9.8 (</w:t>
      </w:r>
      <w:r>
        <w:rPr>
          <w:rFonts w:ascii="Times New Roman" w:cs="Times New Roman" w:eastAsia="Times New Roman" w:hAnsi="Times New Roman"/>
          <w:sz w:val="18"/>
          <w:szCs w:val="18"/>
          <w:i w:val="1"/>
          <w:iCs w:val="1"/>
          <w:color w:val="auto"/>
        </w:rPr>
        <w:t>Call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means cash in GBP, euro or US dollars.</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 deposit account of the Company which has been designated by the Agent which shall be a bank account: (i) held by the Company with a financial institution designated by the Agent in writing; (ii) identified in a letter from the Agent to the Borrower as the Collateral Account for the purposes of this Agreement; (iii) in respect of which Transaction Security has been granted in favour of the Security Agent (on behalf of the Lenders) and/or other Secured Parties (in a form and substance satisfactory to the Agent (acting on the instructions of the Majority Lenders)) and (iv) from which no withdrawals may be made by the Borrower without the prior written consent of the Agent.</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5" w:name="page16"/>
    <w:bookmarkEnd w:id="15"/>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means the chief executive officer of the Company or, if no chief executive officer is appointed, such other person fulfilling the functions of chief executive officer of the Group.</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means the chief financial officer of the Company or, if no chief financial officer is appointed, such other person fulfilling the functions of chief financial officer of the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cease (directly or indirectly) to have the power (whether by way of ownership of shares, proxy, contract, agency or otherwise) to appoint directors or other equivalent officers of the Company which control the majority of the votes which may be cast at a meeting of the board of directors of the Company;</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cease (directly or indirectly) to beneficially own and control more than 50 per cent. of the issued share capital and/or voting rights of the Company;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Security Provider ceases to directly own 100 per cent. of the shares of, or economic interests in the Company (calculated on a fully diluted basis).</w:t>
      </w:r>
    </w:p>
    <w:p>
      <w:pPr>
        <w:spacing w:after="0" w:line="158"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Charged Property</w:t>
      </w:r>
      <w:r>
        <w:rPr>
          <w:rFonts w:ascii="Times New Roman" w:cs="Times New Roman" w:eastAsia="Times New Roman" w:hAnsi="Times New Roman"/>
          <w:sz w:val="18"/>
          <w:szCs w:val="18"/>
          <w:color w:val="auto"/>
        </w:rPr>
        <w:t>” means all of the assets of the Company or the Third Party Security Provider which from time to time are, or are expressed to be, the subject of the Transaction Security.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the first utilisation of Facility B occurs.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the Facility B Commitment.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substantially in the form set out in Schedule 6 and delivered by the Company to the Agent under Clause 18.5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or otherwise in form and substance satisfactory to the Agent (acting on the instructions of the Majority Lenders (acting reasonably)).</w:t>
      </w:r>
    </w:p>
    <w:p>
      <w:pPr>
        <w:spacing w:after="0" w:line="17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Company, the Third Party Security Provider, the Group, the Restricted Group, the Investors, the Finance Documents, a Facility or any entity, group or business that the Company notifies to the Agent is potentially to be the subject of a Permitted Acquisition, and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183" w:lineRule="exact"/>
        <w:rPr>
          <w:sz w:val="20"/>
          <w:szCs w:val="20"/>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Group or the Restricted Group or any of their respective advisers;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member of the Group or the Restricted Group or any of their advisers,</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62" w:lineRule="exact"/>
        <w:rPr>
          <w:sz w:val="20"/>
          <w:szCs w:val="20"/>
          <w:color w:val="auto"/>
        </w:rPr>
      </w:pPr>
    </w:p>
    <w:p>
      <w:pPr>
        <w:ind w:left="1304" w:hanging="656"/>
        <w:spacing w:after="0" w:line="282" w:lineRule="auto"/>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37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or</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16" w:name="page17"/>
    <w:bookmarkEnd w:id="16"/>
    <w:p>
      <w:pPr>
        <w:ind w:left="1304" w:hanging="656"/>
        <w:spacing w:after="0" w:line="282" w:lineRule="auto"/>
        <w:tabs>
          <w:tab w:leader="none" w:pos="13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member of the Group or the Restricted Group or any of its advisers; or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or the Restricted Group and which, in either case, as far as that Finance Party is aware, has not been obtained in breach of, and is not otherwise subject to, any obligation of confidentiality.</w:t>
      </w:r>
    </w:p>
    <w:p>
      <w:pPr>
        <w:spacing w:after="0" w:line="176"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from time to time or in any other form agreed between the Company and the Agent.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Constitutional Documents</w:t>
      </w:r>
      <w:r>
        <w:rPr>
          <w:rFonts w:ascii="Times New Roman" w:cs="Times New Roman" w:eastAsia="Times New Roman" w:hAnsi="Times New Roman"/>
          <w:sz w:val="18"/>
          <w:szCs w:val="18"/>
          <w:color w:val="auto"/>
        </w:rPr>
        <w:t>” means the articles of association of the Company.</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of a Non-Voting Sub-Participation</w:t>
      </w:r>
      <w:r>
        <w:rPr>
          <w:rFonts w:ascii="Times New Roman" w:cs="Times New Roman" w:eastAsia="Times New Roman" w:hAnsi="Times New Roman"/>
          <w:sz w:val="18"/>
          <w:szCs w:val="18"/>
          <w:color w:val="auto"/>
        </w:rPr>
        <w:t>” means the exercise of any option under a Non-Voting Sub-Participation whereby voting rights under the Finance Documents pass (as a result of and at the time of exercise of that option).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CRR</w:t>
      </w:r>
      <w:r>
        <w:rPr>
          <w:rFonts w:ascii="Times New Roman" w:cs="Times New Roman" w:eastAsia="Times New Roman" w:hAnsi="Times New Roman"/>
          <w:sz w:val="18"/>
          <w:szCs w:val="18"/>
          <w:color w:val="auto"/>
        </w:rPr>
        <w:t>” has the meaning given to that term in paragraph (d) of Clause 13.3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CVC</w:t>
      </w:r>
      <w:r>
        <w:rPr>
          <w:rFonts w:ascii="Times New Roman" w:cs="Times New Roman" w:eastAsia="Times New Roman" w:hAnsi="Times New Roman"/>
          <w:sz w:val="18"/>
          <w:szCs w:val="18"/>
          <w:color w:val="auto"/>
        </w:rPr>
        <w:t>” means any funds or limited partnerships managed or advised by CVC Advisers Limited or any of its Affiliates or direct or indirect Subsidiaries or any investors in such funds or limited partnership (but excluding, in each case, any portfolio companies in which such funds or limited partnerships hold an investment and excluding, in each case, CVC Credit Partners Group Holding Foundation and its Subsidiaries and any funds or entities managed or advised by CVC Credit Partners Group Holding Foundation or any of its direct or indirect Subsidiaries engaged in the same or a similar business to CVC Credit Partners Group Holding Foundation) who are investors in such funds or limited partnerships.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Purchase Transaction</w:t>
      </w:r>
      <w:r>
        <w:rPr>
          <w:rFonts w:ascii="Times New Roman" w:cs="Times New Roman" w:eastAsia="Times New Roman" w:hAnsi="Times New Roman"/>
          <w:sz w:val="18"/>
          <w:szCs w:val="18"/>
          <w:color w:val="auto"/>
        </w:rPr>
        <w:t>” means, in relation to a person, a transaction where such person:</w:t>
      </w:r>
    </w:p>
    <w:p>
      <w:pPr>
        <w:spacing w:after="0" w:line="229" w:lineRule="exact"/>
        <w:rPr>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way of assignment or transfer;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225" w:lineRule="exact"/>
        <w:rPr>
          <w:rFonts w:ascii="Times New Roman" w:cs="Times New Roman" w:eastAsia="Times New Roman" w:hAnsi="Times New Roman"/>
          <w:sz w:val="18"/>
          <w:szCs w:val="18"/>
          <w:color w:val="auto"/>
        </w:rPr>
      </w:pPr>
    </w:p>
    <w:p>
      <w:pPr>
        <w:ind w:left="4" w:right="540" w:hanging="4"/>
        <w:spacing w:after="0" w:line="498"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Declared Default</w:t>
      </w:r>
      <w:r>
        <w:rPr>
          <w:rFonts w:ascii="Times New Roman" w:cs="Times New Roman" w:eastAsia="Times New Roman" w:hAnsi="Times New Roman"/>
          <w:sz w:val="18"/>
          <w:szCs w:val="18"/>
          <w:color w:val="auto"/>
        </w:rPr>
        <w:t>” means the giving of notice by the Agent under paragraphs (a), (b) or (d) of Clause 21.18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or any demand for payment made by the Agent in respect of any amounts placed on demand under paragraph (c) of Clause 21.18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 event which would (with the expiry of a grace period or the giving of notice provided for in Clause 21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or any combination of the foregoing) be an Event of Default, provided that any such event or circumstance which requires the satisfaction of a condition as to materiality before it becomes an Event of Default shall not be a Default unless that condition is satisfied.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(other than a Lender which is a member of the Group or any Investor Affiliate):</w:t>
      </w:r>
    </w:p>
    <w:p>
      <w:pPr>
        <w:spacing w:after="0" w:line="229" w:lineRule="exact"/>
        <w:rPr>
          <w:sz w:val="20"/>
          <w:szCs w:val="20"/>
          <w:color w:val="auto"/>
        </w:rPr>
      </w:pPr>
    </w:p>
    <w:p>
      <w:pPr>
        <w:ind w:left="644" w:hanging="644"/>
        <w:spacing w:after="0" w:line="282"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7" w:name="page18"/>
    <w:bookmarkEnd w:id="17"/>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225" w:lineRule="exact"/>
        <w:rPr>
          <w:rFonts w:ascii="Times New Roman" w:cs="Times New Roman" w:eastAsia="Times New Roman" w:hAnsi="Times New Roman"/>
          <w:sz w:val="18"/>
          <w:szCs w:val="18"/>
          <w:color w:val="auto"/>
        </w:rPr>
      </w:pPr>
    </w:p>
    <w:p>
      <w:pPr>
        <w:ind w:left="4" w:right="1920" w:hanging="4"/>
        <w:spacing w:after="0" w:line="500" w:lineRule="auto"/>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(or any Holding Company of which) an Insolvency Event has occurred and is continuing, unless, in the case of paragraph (a) above:</w:t>
      </w:r>
    </w:p>
    <w:p>
      <w:pPr>
        <w:spacing w:after="0" w:line="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225" w:lineRule="exact"/>
        <w:rPr>
          <w:rFonts w:ascii="Times New Roman" w:cs="Times New Roman" w:eastAsia="Times New Roman" w:hAnsi="Times New Roman"/>
          <w:sz w:val="18"/>
          <w:szCs w:val="18"/>
          <w:color w:val="auto"/>
        </w:rPr>
      </w:pPr>
    </w:p>
    <w:p>
      <w:pPr>
        <w:ind w:left="4" w:right="1740" w:firstLine="644"/>
        <w:spacing w:after="0" w:line="498"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 “</w:t>
      </w:r>
      <w:r>
        <w:rPr>
          <w:rFonts w:ascii="Times New Roman" w:cs="Times New Roman" w:eastAsia="Times New Roman" w:hAnsi="Times New Roman"/>
          <w:sz w:val="18"/>
          <w:szCs w:val="18"/>
          <w:b w:val="1"/>
          <w:bCs w:val="1"/>
          <w:color w:val="auto"/>
        </w:rPr>
        <w:t>Delegate</w:t>
      </w:r>
      <w:r>
        <w:rPr>
          <w:rFonts w:ascii="Times New Roman" w:cs="Times New Roman" w:eastAsia="Times New Roman" w:hAnsi="Times New Roman"/>
          <w:sz w:val="18"/>
          <w:szCs w:val="18"/>
          <w:color w:val="auto"/>
        </w:rPr>
        <w:t>” means any delegate, agent, attorney or co-trustee appointed by the Security Agent.</w:t>
      </w:r>
    </w:p>
    <w:p>
      <w:pPr>
        <w:spacing w:after="0" w:line="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Delisting</w:t>
      </w:r>
      <w:r>
        <w:rPr>
          <w:rFonts w:ascii="Times New Roman" w:cs="Times New Roman" w:eastAsia="Times New Roman" w:hAnsi="Times New Roman"/>
          <w:sz w:val="18"/>
          <w:szCs w:val="18"/>
          <w:color w:val="auto"/>
        </w:rPr>
        <w:t>” means the NASDAQ, NASDAQ Stockholm or NASDAQ Iceland announces that, pursuant to the rules of its stock exchange, the Shares have ceased to be listed, traded or publicly quoted on the NASDAQ, NASDAQ Stockholm or NASDAQ Iceland, as applicable.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229" w:lineRule="exact"/>
        <w:rPr>
          <w:sz w:val="20"/>
          <w:szCs w:val="20"/>
          <w:color w:val="auto"/>
        </w:rPr>
      </w:pPr>
    </w:p>
    <w:p>
      <w:pPr>
        <w:jc w:val="both"/>
        <w:ind w:left="644" w:hanging="644"/>
        <w:spacing w:after="0" w:line="26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w:t>
      </w:r>
      <w:r>
        <w:rPr>
          <w:rFonts w:ascii="Times New Roman" w:cs="Times New Roman" w:eastAsia="Times New Roman" w:hAnsi="Times New Roman"/>
          <w:sz w:val="18"/>
          <w:szCs w:val="18"/>
          <w:color w:val="auto"/>
        </w:rPr>
        <w:t>” means the earn-out payment owed to the Company as described in Exhibit B of the Lotus SPA.</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humans, animals, plants and all other living organisms including the ecological systems of which they form part and the following media:</w:t>
      </w:r>
    </w:p>
    <w:p>
      <w:pPr>
        <w:spacing w:after="0" w:line="159" w:lineRule="exact"/>
        <w:rPr>
          <w:sz w:val="20"/>
          <w:szCs w:val="20"/>
          <w:color w:val="auto"/>
        </w:rPr>
      </w:pPr>
    </w:p>
    <w:p>
      <w:pPr>
        <w:ind w:left="4924" w:right="2020" w:hanging="4924"/>
        <w:spacing w:after="0" w:line="814" w:lineRule="auto"/>
        <w:tabs>
          <w:tab w:leader="none" w:pos="6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(including, without limitation, air within natural or man-made structures, whether above or below ground);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-313690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8" w:name="page19"/>
    <w:bookmarkEnd w:id="18"/>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(including, without limitation, territorial, coastal and inland waters, water under or within land and water in drains and sewers);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(including, without limitation, land under water).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proceeding, formal notice or investigation by any person in respect of any Environmental Law.</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or regulation binding upon a member of the Group in the jurisdiction in which it operates and which relates to:</w:t>
      </w:r>
    </w:p>
    <w:p>
      <w:pPr>
        <w:spacing w:after="0" w:line="159" w:lineRule="exact"/>
        <w:rPr>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pollution or protection of the Environment;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workplace;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handling, storage, use, release or spillage of any substance which, alone or in combination with any other, is capable of causing harm to the Environment, including, without limitation, any waste.</w:t>
      </w:r>
    </w:p>
    <w:p>
      <w:pPr>
        <w:spacing w:after="0" w:line="158"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Documents</w:t>
      </w:r>
      <w:r>
        <w:rPr>
          <w:rFonts w:ascii="Times New Roman" w:cs="Times New Roman" w:eastAsia="Times New Roman" w:hAnsi="Times New Roman"/>
          <w:sz w:val="18"/>
          <w:szCs w:val="18"/>
          <w:color w:val="auto"/>
        </w:rPr>
        <w:t>” means the Constitutional Documents, the Redeemable Preferred Shares Documents, the Subscription Agreement and any document evidencing a Shareholder Loan.</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Alvotech Stake</w:t>
      </w:r>
      <w:r>
        <w:rPr>
          <w:rFonts w:ascii="Times New Roman" w:cs="Times New Roman" w:eastAsia="Times New Roman" w:hAnsi="Times New Roman"/>
          <w:sz w:val="18"/>
          <w:szCs w:val="18"/>
          <w:color w:val="auto"/>
        </w:rPr>
        <w:t>” means the Shares held by the Company immediately prior to the Closing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Facility B.</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w:t>
      </w:r>
      <w:r>
        <w:rPr>
          <w:rFonts w:ascii="Times New Roman" w:cs="Times New Roman" w:eastAsia="Times New Roman" w:hAnsi="Times New Roman"/>
          <w:sz w:val="18"/>
          <w:szCs w:val="18"/>
          <w:color w:val="auto"/>
        </w:rPr>
        <w:t>” means the term loan facility made available under this Agreement as described in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Commitment</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amount set out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its Facility B Commitment; and</w:t>
      </w:r>
    </w:p>
    <w:p>
      <w:pPr>
        <w:spacing w:after="0" w:line="22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Facility B Commitment transferred to it under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w:t>
      </w:r>
    </w:p>
    <w:p>
      <w:pPr>
        <w:spacing w:after="0" w:line="225" w:lineRule="exact"/>
        <w:rPr>
          <w:sz w:val="20"/>
          <w:szCs w:val="20"/>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cancelled, reduced or transferred by it under this Agreement; and</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deemed to be zero pursuant to Clause 23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Lender</w:t>
      </w:r>
      <w:r>
        <w:rPr>
          <w:rFonts w:ascii="Times New Roman" w:cs="Times New Roman" w:eastAsia="Times New Roman" w:hAnsi="Times New Roman"/>
          <w:sz w:val="18"/>
          <w:szCs w:val="18"/>
          <w:color w:val="auto"/>
        </w:rPr>
        <w:t>” means any Lender who makes available a Facility B Commitment or a Facility B Loan.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Loan</w:t>
      </w:r>
      <w:r>
        <w:rPr>
          <w:rFonts w:ascii="Times New Roman" w:cs="Times New Roman" w:eastAsia="Times New Roman" w:hAnsi="Times New Roman"/>
          <w:sz w:val="18"/>
          <w:szCs w:val="18"/>
          <w:color w:val="auto"/>
        </w:rPr>
        <w:t>” means a loan made or to be made under Facility B or the principal amount outstanding for the time being of that loan.</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a Lender or Finance Party to the Agent in writing on or before the date it becomes a Lender or Finance Party (or, following that date, by not less than five (5) Business Days’ written notice) as the office or offices through which it will perform its obligations under this Agreement.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amended or successor provision which is substantively comparable thereto or any associated regulations or other official guidance;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treaty, law, agreement (including any intergovernmental agreement), regulation or other official guidance enacted in any other jurisdiction, or relating to an intergovernmental agreement between the U.S. and any other jurisdiction, which (in either case) facilitates the implementation of paragraph (a) above; or</w:t>
      </w:r>
    </w:p>
    <w:p>
      <w:pPr>
        <w:spacing w:after="0" w:line="175" w:lineRule="exact"/>
        <w:rPr>
          <w:rFonts w:ascii="Times New Roman" w:cs="Times New Roman" w:eastAsia="Times New Roman" w:hAnsi="Times New Roman"/>
          <w:sz w:val="18"/>
          <w:szCs w:val="18"/>
          <w:color w:val="auto"/>
        </w:rPr>
      </w:pPr>
    </w:p>
    <w:p>
      <w:pPr>
        <w:ind w:left="644" w:right="860" w:hanging="644"/>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w:t>
      </w:r>
    </w:p>
    <w:p>
      <w:pPr>
        <w:spacing w:after="0" w:line="159" w:lineRule="exact"/>
        <w:rPr>
          <w:rFonts w:ascii="Times New Roman" w:cs="Times New Roman" w:eastAsia="Times New Roman" w:hAnsi="Times New Roman"/>
          <w:sz w:val="18"/>
          <w:szCs w:val="18"/>
          <w:color w:val="auto"/>
        </w:rPr>
      </w:pPr>
    </w:p>
    <w:p>
      <w:pPr>
        <w:jc w:val="both"/>
        <w:ind w:left="644" w:hanging="644"/>
        <w:spacing w:after="0" w:line="267"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t>
      </w:r>
      <w:r>
        <w:rPr>
          <w:rFonts w:ascii="Times New Roman" w:cs="Times New Roman" w:eastAsia="Times New Roman" w:hAnsi="Times New Roman"/>
          <w:sz w:val="18"/>
          <w:szCs w:val="18"/>
          <w:i w:val="1"/>
          <w:iCs w:val="1"/>
          <w:color w:val="auto"/>
        </w:rPr>
        <w:t>withholdable payment</w:t>
      </w:r>
      <w:r>
        <w:rPr>
          <w:rFonts w:ascii="Times New Roman" w:cs="Times New Roman" w:eastAsia="Times New Roman" w:hAnsi="Times New Roman"/>
          <w:sz w:val="18"/>
          <w:szCs w:val="18"/>
          <w:color w:val="auto"/>
        </w:rPr>
        <w:t>” described in section 1473(1)(A)(ii) of the Code (which relates to “</w:t>
      </w:r>
      <w:r>
        <w:rPr>
          <w:rFonts w:ascii="Times New Roman" w:cs="Times New Roman" w:eastAsia="Times New Roman" w:hAnsi="Times New Roman"/>
          <w:sz w:val="18"/>
          <w:szCs w:val="18"/>
          <w:i w:val="1"/>
          <w:iCs w:val="1"/>
          <w:color w:val="auto"/>
        </w:rPr>
        <w:t>gross proceeds</w:t>
      </w:r>
      <w:r>
        <w:rPr>
          <w:rFonts w:ascii="Times New Roman" w:cs="Times New Roman" w:eastAsia="Times New Roman" w:hAnsi="Times New Roman"/>
          <w:sz w:val="18"/>
          <w:szCs w:val="18"/>
          <w:color w:val="auto"/>
        </w:rPr>
        <w:t>” from the disposition of property of a type that can produce interest from sources within the US), the first date from which such payment may become subject to a deduction or withholding required by FATCA;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 dated on or about the date of this Agreement between, amongst others, Morgan Stanley Bank AG, Alinor Capital Master Fund SCA SICAV-RAIF and the Company; and</w:t>
      </w:r>
    </w:p>
    <w:p>
      <w:pPr>
        <w:spacing w:after="0" w:line="159"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setting out fees payable to a Finance Party referred to in Clause 11.1 (</w:t>
      </w:r>
      <w:r>
        <w:rPr>
          <w:rFonts w:ascii="Times New Roman" w:cs="Times New Roman" w:eastAsia="Times New Roman" w:hAnsi="Times New Roman"/>
          <w:sz w:val="18"/>
          <w:szCs w:val="18"/>
          <w:i w:val="1"/>
          <w:iCs w:val="1"/>
          <w:color w:val="auto"/>
        </w:rPr>
        <w:t>Agent and Security Agent fees</w:t>
      </w:r>
      <w:r>
        <w:rPr>
          <w:rFonts w:ascii="Times New Roman" w:cs="Times New Roman" w:eastAsia="Times New Roman" w:hAnsi="Times New Roman"/>
          <w:sz w:val="18"/>
          <w:szCs w:val="18"/>
          <w:color w:val="auto"/>
        </w:rPr>
        <w:t>) of this Agreement or under any other Finance Document.</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0" w:name="page21"/>
    <w:bookmarkEnd w:id="20"/>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this Agreement, any Compliance Certificate, any LTV Certificate, any Fee Letter, the Subordination Agreement, any Subordination Agreement Accession Deed, the Alvotech Side Letter Agreement, any Transaction Security Document, any Utilisation Request and any other document designated as 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by the Agent and the Company.</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means any lease or hire purchase contract which would, in accordance with the Accounting Principles as in force prior to 1 January 2019, be treated as a finance or capital lease.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means the Agent, the Security Agent or a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 (without double counting):</w:t>
      </w:r>
    </w:p>
    <w:p>
      <w:pPr>
        <w:spacing w:after="0" w:line="229" w:lineRule="exact"/>
        <w:rPr>
          <w:sz w:val="20"/>
          <w:szCs w:val="20"/>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 and debit balances at banks or other financial institutions;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or bill discounting facility or dematerialised equivalent;</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 (but not Trade Instruments);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Finance Leases;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or discounted on a non-recourse basis or where recourse is limited to customary warranties and indemnities);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required to be accounted for as a borrowing in accordance with the Accounting Principles;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(and, when calculating the value of any Treasury Transaction, only the marked to market net value (or, if any actual amount is due as a result of the termination or close-out of that Treasury Transaction, that amount) shall be taken into account);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raised by any issue of shares which are expressed to be redeemable mandatorily or at the option of the holder prior to the date which is the last Termination Date in respect of the Facilities;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in respect of an underlying liability (excluding any Trade Instruments ) of an entity which is not a member of the Group which liability would fall within one of the other paragraphs of this definition;</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credit for goods and services raised in the ordinary course and outstanding for more than 150 days after its customary date of payment;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consideration to the extent recognised as non-contingent liabilities in accordance with the Accounting Principles;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for any of the items referred to in paragraphs (a) to (k) above,</w:t>
      </w:r>
    </w:p>
    <w:p>
      <w:pPr>
        <w:spacing w:after="0" w:line="200" w:lineRule="exact"/>
        <w:rPr>
          <w:sz w:val="20"/>
          <w:szCs w:val="20"/>
          <w:color w:val="auto"/>
        </w:rPr>
      </w:pPr>
    </w:p>
    <w:p>
      <w:pPr>
        <w:spacing w:after="0" w:line="26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t>but excluding in all cases, for the avoidance of doubt:</w:t>
      </w:r>
    </w:p>
    <w:p>
      <w:pPr>
        <w:spacing w:after="0" w:line="225" w:lineRule="exact"/>
        <w:rPr>
          <w:sz w:val="20"/>
          <w:szCs w:val="20"/>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or outstanding in respect of any Shareholder Loans or New Shareholder Injections;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Indebtedness arising under Treasury Transactions except to the extent included in paragraph (g) above;</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by any member of the Group in respect of obligations or Financial Indebtedness of the Company;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intra-day exposures; or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in respect of workers’ compensation claims, any pension scheme operated by any member of the Group from time to time, early retirement or termination obligations, pension fund obligations or contributions or similar claims, obligations or contributions or social security or wage Taxes.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Annual Financial Statements or Quarterly Financial Statements.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Funds Flow Statement</w:t>
      </w:r>
      <w:r>
        <w:rPr>
          <w:rFonts w:ascii="Times New Roman" w:cs="Times New Roman" w:eastAsia="Times New Roman" w:hAnsi="Times New Roman"/>
          <w:sz w:val="18"/>
          <w:szCs w:val="18"/>
          <w:color w:val="auto"/>
        </w:rPr>
        <w:t>” means the Original Funds Flow Statement.</w:t>
      </w:r>
    </w:p>
    <w:p>
      <w:pPr>
        <w:spacing w:after="0" w:line="225" w:lineRule="exact"/>
        <w:rPr>
          <w:sz w:val="20"/>
          <w:szCs w:val="20"/>
          <w:color w:val="auto"/>
        </w:rPr>
      </w:pPr>
    </w:p>
    <w:p>
      <w:pPr>
        <w:ind w:left="4"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each of its Subsidiaries from time to time (it being understood that Alvotech and its Subsidiaries do not constitute a member of the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Structure Chart</w:t>
      </w:r>
      <w:r>
        <w:rPr>
          <w:rFonts w:ascii="Times New Roman" w:cs="Times New Roman" w:eastAsia="Times New Roman" w:hAnsi="Times New Roman"/>
          <w:sz w:val="18"/>
          <w:szCs w:val="18"/>
          <w:color w:val="auto"/>
        </w:rPr>
        <w:t>” means the structure chart of the Restricted Group in the agreed form.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company or corporation, any other company or corporation in respect of which it is a Subsidiary.</w:t>
      </w:r>
    </w:p>
    <w:p>
      <w:pPr>
        <w:spacing w:after="0" w:line="225" w:lineRule="exact"/>
        <w:rPr>
          <w:sz w:val="20"/>
          <w:szCs w:val="20"/>
          <w:color w:val="auto"/>
        </w:rPr>
      </w:pPr>
    </w:p>
    <w:p>
      <w:pPr>
        <w:ind w:left="4"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endorsed from time to time by the European Union or United Kingdom or any variation thereof.</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Impaired Agent</w:t>
      </w:r>
      <w:r>
        <w:rPr>
          <w:rFonts w:ascii="Times New Roman" w:cs="Times New Roman" w:eastAsia="Times New Roman" w:hAnsi="Times New Roman"/>
          <w:sz w:val="18"/>
          <w:szCs w:val="18"/>
          <w:color w:val="auto"/>
        </w:rPr>
        <w:t>” means the Agent at any time when:</w:t>
      </w:r>
    </w:p>
    <w:p>
      <w:pPr>
        <w:spacing w:after="0" w:line="229" w:lineRule="exact"/>
        <w:rPr>
          <w:sz w:val="20"/>
          <w:szCs w:val="20"/>
          <w:color w:val="auto"/>
        </w:rPr>
      </w:pPr>
    </w:p>
    <w:p>
      <w:pPr>
        <w:ind w:left="644" w:right="160" w:hanging="644"/>
        <w:spacing w:after="0" w:line="282"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22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or (c) of the definition of “</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or</w:t>
      </w:r>
    </w:p>
    <w:p>
      <w:pPr>
        <w:spacing w:after="0" w:line="22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 unless, in the case of paragraph (a) above: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22" w:name="page23"/>
    <w:bookmarkEnd w:id="22"/>
    <w:p>
      <w:pPr>
        <w:ind w:left="644"/>
        <w:spacing w:after="0"/>
        <w:rPr>
          <w:sz w:val="20"/>
          <w:szCs w:val="20"/>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225" w:lineRule="exact"/>
        <w:rPr>
          <w:sz w:val="20"/>
          <w:szCs w:val="20"/>
          <w:color w:val="auto"/>
        </w:rPr>
      </w:pPr>
    </w:p>
    <w:p>
      <w:pPr>
        <w:ind w:left="1304" w:hanging="656"/>
        <w:spacing w:after="0"/>
        <w:tabs>
          <w:tab w:leader="none" w:pos="1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22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Shareholder Loan</w:t>
      </w:r>
      <w:r>
        <w:rPr>
          <w:rFonts w:ascii="Times New Roman" w:cs="Times New Roman" w:eastAsia="Times New Roman" w:hAnsi="Times New Roman"/>
          <w:sz w:val="18"/>
          <w:szCs w:val="18"/>
          <w:color w:val="auto"/>
        </w:rPr>
        <w:t>” means any unsecured loan, or any instrument or agreement evidencing an unsecured loan (as the case may be) made to the Company by the Third Party Security Provider on or prior to the Closing Date and which is subordinated as Subordinated Debt pursuant to the terms of (and as defined in) the Subordination Agreement and to the extent such loan has been disclosed to, and approved in writing by, the Original Lenders on or prior to the original date of this Agreement.</w:t>
      </w:r>
    </w:p>
    <w:p>
      <w:pPr>
        <w:spacing w:after="0" w:line="176"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in relation to a Finance Party means the appointment of a liquidator, receiver, administrative receiver, administrator, compulsory manager or other similar officer in respect of that Finance Party or all or substantially all of that Finance Party’s assets or any analogous procedure or step is taken in any jurisdiction (all other than by way of an Undisclosed Administration) with respect to that Finance Party.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utility models, trademarks, service marks, designs, business names, copyrights, database rights, design rights, registered designs, domain names, moral rights, inventions, confidential information, trade secrets, knowhow and all other intellectual property rights throughout the world and interests (which may now or in the future subsist), whether registered or unregistered; and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all goodwill associated with such applications) and rights to use such assets of each member of the Group, including all rights under any agreements relating to the use or exploitation of any such rights, which may now or in the future subsist.</w:t>
      </w:r>
    </w:p>
    <w:p>
      <w:pPr>
        <w:spacing w:after="0" w:line="17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Affiliate</w:t>
      </w:r>
      <w:r>
        <w:rPr>
          <w:rFonts w:ascii="Times New Roman" w:cs="Times New Roman" w:eastAsia="Times New Roman" w:hAnsi="Times New Roman"/>
          <w:sz w:val="18"/>
          <w:szCs w:val="18"/>
          <w:color w:val="auto"/>
        </w:rPr>
        <w:t>” means (i) any Investor and each of its Affiliates and direct and indirect Subsidiaries, (ii) any limited partnerships or entities managed or advised by an Investor or any of its Affiliates or any of its direct or indirect Subsidiaries (iii) any trust of an Investor or any of its Affiliates or any of its direct or indirect Subsidiaries or in respect of which any such persons are a trustee, (iv) any partnership of an Investor or any of its Affiliates or any of its direct or indirect Subsidiaries or in respect of which any such persons are a partner, and (v) any trust, fund or other entity which is managed by, or is under the control of, an Investor or any of its Affiliates or any of its direct or indirect Subsidiaries but excluding (in each case), (A) any other fund or entity that is affiliated with or managed and/or advised by any Investor where the principal business of such affiliated fund or entity is investing in debt and (B) any member of the Group or the Restricted Group.</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CVC;</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Pamplona Capital Management LLP and any of its Affiliates, and funds or partnerships managed or advised by any of Pamplona Capital Management LLP or any of its Affiliates;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Aztiq ehf, Aztiq Finance SCA, Aztiq Finance Holdings Sarl, Aztiq Fund scsp, Aztiq Partners NY 78685055v5 11 A.B., Aztiq Pharma Partners SCA SICAR, Floki Holdings S.à r.l. or Floki LP;</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Temasek Holdings (Private) Limited and its Affiliates; and</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23" w:name="page24"/>
    <w:bookmarkEnd w:id="23"/>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funds, limited liability companies or limited partnerships managed or advised by Vatera Capital Management LLC or any of its Affiliates or direct or indirect Subsidiaries or any investors in such funds, limited liability companies or limited partnership who are investors in such funds, limited liability companies or limited partnerships.</w:t>
      </w:r>
    </w:p>
    <w:p>
      <w:pPr>
        <w:spacing w:after="0" w:line="172"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any joint venture entity or minority interest, whether in or relating to a company, unincorporated firm, undertaking, association, joint venture or partnership or any other person in which a member of the Group directly or indirectly holds (or, upon making an initial investment will hold) shares or other applicable ownership interests.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means any legal opinion delivered to the Agent under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certain remedies may be granted or refused at the discretion of the court, the limitation of enforcement by laws relating to bankruptcy, insolvency, liquidation, reorganisation, court schemes, moratoria, administration and other laws generally affecting the rights of creditors and secured creditors;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applicable limitation laws (including the Limitation Acts) and defences of acquiescence, set-off or counterclaim and the possibility that an undertaking to assume liability for or to indemnify a person against non-payment of stamp duty may be void;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in certain circumstances Security granted by way of fixed charge may be recharacterised as a floating charge or that Security purported to be constituted as an assignment may be recharacterised as a charge;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additional interest imposed pursuant to any relevant agreement may be held to be unenforceable on the grounds that it is a penalty and thus void;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the creation or purported creation of Security over any contract or agreement which is subject to a prohibition on transfer, assignment or charging may be void, ineffective or invalid and may give rise to a breach of the contract or agreement over which Security has purportedly been created;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any parallel debt provisions, covenants to pay the Security Agent or other similar provisions;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of private and procedural laws of any relevant jurisdiction which affect the enforcement of a foreign court judgment;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(however described) as to matters of law in the Legal Opinions.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Lender; or</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ind w:left="644" w:right="20" w:hanging="644"/>
        <w:spacing w:after="0" w:line="284"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in accordance with Clause 22 (</w:t>
      </w:r>
      <w:r>
        <w:rPr>
          <w:rFonts w:ascii="Times New Roman" w:cs="Times New Roman" w:eastAsia="Times New Roman" w:hAnsi="Times New Roman"/>
          <w:sz w:val="18"/>
          <w:szCs w:val="18"/>
          <w:i w:val="1"/>
          <w:iCs w:val="1"/>
          <w:color w:val="auto"/>
        </w:rPr>
        <w:t>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Lenders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which in each case has not ceased to be a Lender in accordance with the terms of this Agreement and provided that upon (i) termination in full of all Commitments of any Lender in relation to any Facility; and (ii) payment in full of all amounts which then are due and payable to such Lender under that Facility, such Lender shall not be regarded as a Lender for that Facility for the purpose of determining whether any provision which requires consultation, consent, agreement or vote with any Lender (or any class thereof) has been complied with.</w:t>
      </w:r>
    </w:p>
    <w:p>
      <w:pPr>
        <w:spacing w:after="0" w:line="17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present or future payment and discharge obligation, liability, claim, debt, claim for specific performance, damages or restitution, counterclaim, suit, right of action or right whatsoever or howsoever arising, including, without limitation, for the payment of money or the performance of an act or obligation (whether deliberate or otherwise) or any failure to perform any obligation or any omission, whether for negligence, breach of duty, breach of trust or misrepresentation or otherwise, whether in respect of principal, interest or otherwise, whether actual or contingent, whether fixed or undetermined, whether admitted or disputed, whether known or unknown, whether owed jointly or severally and whether owed as principal, surety or in any capacity whatsoever and whether it arises at common law, in equity or by statute, in England and Wales or in any other jurisdiction under whatever applicable law, under any legal theory, and in any manner whatsoever.</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22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means the listing or the admission to trading of all or any part of the share capital of the Borrower, or the Company or any Holding Company (the only material assets of which are shares held directly or indirectly, or other direct or indirect investments, in the Group (other than the Investors)) of the Company on any recognised investment exchange (as that term is used in the Financial Services and Markets Act 2000) or in or on any other exchange or market in any jurisdiction or country or any other sale or issue by way of listing, flotation or public offering or any equivalent circumstances in relation to the Borrower or the Company or any Holding Company of the Company (other than the Investors) in any jurisdiction or country.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Facility B Loan.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Lotus SHA</w:t>
      </w:r>
      <w:r>
        <w:rPr>
          <w:rFonts w:ascii="Times New Roman" w:cs="Times New Roman" w:eastAsia="Times New Roman" w:hAnsi="Times New Roman"/>
          <w:sz w:val="18"/>
          <w:szCs w:val="18"/>
          <w:color w:val="auto"/>
        </w:rPr>
        <w:t>” means the shareholders agreement dated 25 November 2025 and made between, amongst others, Lotus US Financing S.à r.l. and the Company.</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Lotus SPA</w:t>
      </w:r>
      <w:r>
        <w:rPr>
          <w:rFonts w:ascii="Times New Roman" w:cs="Times New Roman" w:eastAsia="Times New Roman" w:hAnsi="Times New Roman"/>
          <w:sz w:val="18"/>
          <w:szCs w:val="18"/>
          <w:color w:val="auto"/>
        </w:rPr>
        <w:t>” means the stock purchase agreement dated 23 September 2025 and made between, amongst others, Lotus US Financing S.à r.l. and the Company in relation the sale and purchase of the entire capital stock of New Alvogen US Holdings.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Calculation Template</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Certificate</w:t>
      </w:r>
      <w:r>
        <w:rPr>
          <w:rFonts w:ascii="Times New Roman" w:cs="Times New Roman" w:eastAsia="Times New Roman" w:hAnsi="Times New Roman"/>
          <w:sz w:val="18"/>
          <w:szCs w:val="18"/>
          <w:color w:val="auto"/>
        </w:rPr>
        <w:t>” means a certificate delivered to the Agent in accordance with the terms of this Agreement setting out the calculation of the Alvotech LTV in accordance with this Agreement and including such other information and certifications as may be required hereunder or such other form agreed in writing between the Borrower and the Agent (acting on behalf of the Majority Lenders (acting reasonably)) from time to time.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Snap Test</w:t>
      </w:r>
      <w:r>
        <w:rPr>
          <w:rFonts w:ascii="Times New Roman" w:cs="Times New Roman" w:eastAsia="Times New Roman" w:hAnsi="Times New Roman"/>
          <w:sz w:val="18"/>
          <w:szCs w:val="18"/>
          <w:color w:val="auto"/>
        </w:rPr>
        <w:t>” has the meaning given to that term in sub-paragraph (e)(ii)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Snap Test Event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55"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by the Agent to the Company (acting on the instructions of the Majority Lenders) of the determination by the Majority Lenders, acting reasonably (the “</w:t>
      </w:r>
      <w:r>
        <w:rPr>
          <w:rFonts w:ascii="Times New Roman" w:cs="Times New Roman" w:eastAsia="Times New Roman" w:hAnsi="Times New Roman"/>
          <w:sz w:val="18"/>
          <w:szCs w:val="18"/>
          <w:b w:val="1"/>
          <w:bCs w:val="1"/>
          <w:color w:val="auto"/>
        </w:rPr>
        <w:t>LTV Snap Notification</w:t>
      </w:r>
      <w:r>
        <w:rPr>
          <w:rFonts w:ascii="Times New Roman" w:cs="Times New Roman" w:eastAsia="Times New Roman" w:hAnsi="Times New Roman"/>
          <w:sz w:val="18"/>
          <w:szCs w:val="18"/>
          <w:color w:val="auto"/>
        </w:rPr>
        <w:t>”) that any transaction, arrangement or other event or circumstance has occurred or arisen, or may reasonably be expected to occur or arise, in relation to or in connection with Alvotech and its subsidiaries (including, without limitation, any movement in the Alvotech Investment Value) that may have resulted in or could reasonably be expected to result in the Alvotech LTV exceeding the LTV Cap, provided that no prior LTV Snap Notification has not been given by the Agent within the last five (5) Business Days (but only to the extent that such prior LTV Snap Notification relates to the same or substantively equivalent transaction, arrangement or other event or circumstance); and/or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becoming aware of any transaction, arrangement or other event or circumstance has occurred or arisen, or may reasonably be expected to occur or arise, in relation to or in connection with Alvotech and its subsidiaries (including, without limitation, any movement in the Alvotech Investment Value) that may have resulted in or could reasonably be expected to result in the Alvotech LTV exceeding the LTV Cap.</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Luxembourg</w:t>
      </w:r>
      <w:r>
        <w:rPr>
          <w:rFonts w:ascii="Times New Roman" w:cs="Times New Roman" w:eastAsia="Times New Roman" w:hAnsi="Times New Roman"/>
          <w:sz w:val="18"/>
          <w:szCs w:val="18"/>
          <w:color w:val="auto"/>
        </w:rPr>
        <w:t>” means the Grand Duchy of Luxembourg.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Luxembourg Obligor</w:t>
      </w:r>
      <w:r>
        <w:rPr>
          <w:rFonts w:ascii="Times New Roman" w:cs="Times New Roman" w:eastAsia="Times New Roman" w:hAnsi="Times New Roman"/>
          <w:sz w:val="18"/>
          <w:szCs w:val="18"/>
          <w:color w:val="auto"/>
        </w:rPr>
        <w:t>” means the Third Party Security Provider and the Company.</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Luxembourg Security Documents</w:t>
      </w:r>
      <w:r>
        <w:rPr>
          <w:rFonts w:ascii="Times New Roman" w:cs="Times New Roman" w:eastAsia="Times New Roman" w:hAnsi="Times New Roman"/>
          <w:sz w:val="18"/>
          <w:szCs w:val="18"/>
          <w:color w:val="auto"/>
        </w:rPr>
        <w:t>” means each of the Luxembourg law governed security documents listed as being a Transaction Security Document in Schedule 2 (</w:t>
      </w:r>
      <w:r>
        <w:rPr>
          <w:rFonts w:ascii="Times New Roman" w:cs="Times New Roman" w:eastAsia="Times New Roman" w:hAnsi="Times New Roman"/>
          <w:sz w:val="18"/>
          <w:szCs w:val="18"/>
          <w:i w:val="1"/>
          <w:iCs w:val="1"/>
          <w:color w:val="auto"/>
        </w:rPr>
        <w:t>Conditions Precedent to Utilisation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means a Lender or Lenders whose Commitments aggregate more than 50.1 per cent. of the Total Commitments (or, if the Total Commitments have been reduced to zero, aggregated more than 66.67 per cent. of the Total Commitments immediately prior to that reduction).</w:t>
      </w:r>
    </w:p>
    <w:p>
      <w:pPr>
        <w:spacing w:after="0" w:line="171"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or circumstance which in each case after taking into account all mitigating factors or circumstances including any warranty, indemnity or other resources reasonably available to the Group or right of recourse against any third party with respect to the relevant event or circumstance (provided that the Group is diligently pursuing such warranty, indemnity or right of recourse and has reasonable grounds for belief in the success of that pursuit) and any legally binding obligation of any person in force to provide any additional equity investment (provided that if such equity commitment has not been advanced to the Group within 20 Business Days of such commitment being provided, it shall not be so taken into account) which:</w:t>
      </w:r>
    </w:p>
    <w:p>
      <w:pPr>
        <w:spacing w:after="0" w:line="186" w:lineRule="exact"/>
        <w:rPr>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material adverse effect 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assets or financial condition of the Group and the Third Party Security Provider (taken as a whole); or</w:t>
      </w:r>
    </w:p>
    <w:p>
      <w:pPr>
        <w:spacing w:after="0" w:line="225" w:lineRule="exact"/>
        <w:rPr>
          <w:rFonts w:ascii="Times New Roman" w:cs="Times New Roman" w:eastAsia="Times New Roman" w:hAnsi="Times New Roman"/>
          <w:sz w:val="18"/>
          <w:szCs w:val="18"/>
          <w:color w:val="auto"/>
        </w:rPr>
      </w:pPr>
    </w:p>
    <w:p>
      <w:pPr>
        <w:ind w:left="1304" w:right="80" w:hanging="656"/>
        <w:spacing w:after="0" w:line="282"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Group and the Third Party Security Provider (taken as a whole) to perform their payment obligations under the Finance Documents;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assets or financial condition of Alvotech and its Subsidiaries (taken as a whole).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and any Perfection Requirements, affects the validity or the enforceability of, or the effectiveness or ranking of any Security granted or purported to be granted pursuant to any of, the Finance Documents to an extent which is materially adverse to the interests, rights or remedies of the Finance Parties under the Finance Documents and, if capable of remedy, is not remedied within 10 Business Days of the earlier of (i) the Company becoming aware of the issue and (ii) the giving of written notice of the issue by the Agent.</w:t>
      </w:r>
    </w:p>
    <w:p>
      <w:pPr>
        <w:spacing w:after="0" w:line="200" w:lineRule="exact"/>
        <w:rPr>
          <w:sz w:val="20"/>
          <w:szCs w:val="20"/>
          <w:color w:val="auto"/>
        </w:rPr>
      </w:pPr>
    </w:p>
    <w:p>
      <w:pPr>
        <w:spacing w:after="0" w:line="22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Transaction</w:t>
      </w:r>
      <w:r>
        <w:rPr>
          <w:rFonts w:ascii="Times New Roman" w:cs="Times New Roman" w:eastAsia="Times New Roman" w:hAnsi="Times New Roman"/>
          <w:sz w:val="18"/>
          <w:szCs w:val="18"/>
          <w:color w:val="auto"/>
        </w:rPr>
        <w:t>” means in relation to each member of the Restricted Group:</w:t>
      </w:r>
    </w:p>
    <w:p>
      <w:pPr>
        <w:spacing w:after="0" w:line="229" w:lineRule="exact"/>
        <w:rPr>
          <w:sz w:val="20"/>
          <w:szCs w:val="20"/>
          <w:color w:val="auto"/>
        </w:rPr>
      </w:pPr>
    </w:p>
    <w:p>
      <w:pPr>
        <w:jc w:val="both"/>
        <w:ind w:left="644" w:hanging="644"/>
        <w:spacing w:after="0" w:line="261"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secured Financial Indebtedness (other than Refinancing Indebtedness and any unsecured Financial Indebtedness), the making of any loan or the granting of any security, guarantees or indemnities or any other arrangement having a similar effect in each case other than the indebtedness, guarantees, security and indemnities existing as at the date of this Agreement to the extent disclosed to, and approved in writing by, the Original Lender on or prior to the date of this Agreement;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or payment of a Restricted Payment;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acquisition, investment, joint venture transaction or any disposal of assets or any other arrangement having a similar effect, save to the extent made in the ordinary course of trade (it being understood for the avoidance of doubt and without prejudice to the generality of the foregoing that acquiring or disposing of shares or businesses (whether in whole or in part) shall not constitute actions conducted in the ordinary course of trade).</w:t>
      </w:r>
    </w:p>
    <w:p>
      <w:pPr>
        <w:spacing w:after="0" w:line="176"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159" w:lineRule="exact"/>
        <w:rPr>
          <w:sz w:val="20"/>
          <w:szCs w:val="20"/>
          <w:color w:val="auto"/>
        </w:rPr>
      </w:pPr>
    </w:p>
    <w:p>
      <w:pPr>
        <w:ind w:left="644" w:hanging="644"/>
        <w:spacing w:after="0" w:line="282"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Iceland</w:t>
      </w:r>
      <w:r>
        <w:rPr>
          <w:rFonts w:ascii="Times New Roman" w:cs="Times New Roman" w:eastAsia="Times New Roman" w:hAnsi="Times New Roman"/>
          <w:sz w:val="18"/>
          <w:szCs w:val="18"/>
          <w:color w:val="auto"/>
        </w:rPr>
        <w:t>” means the Nasdaq Main Market in Iceland.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Stockholm</w:t>
      </w:r>
      <w:r>
        <w:rPr>
          <w:rFonts w:ascii="Times New Roman" w:cs="Times New Roman" w:eastAsia="Times New Roman" w:hAnsi="Times New Roman"/>
          <w:sz w:val="18"/>
          <w:szCs w:val="18"/>
          <w:color w:val="auto"/>
        </w:rPr>
        <w:t>” means the Nasdaq Main Market in Stockholm.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Alvogen US Holdings</w:t>
      </w:r>
      <w:r>
        <w:rPr>
          <w:rFonts w:ascii="Times New Roman" w:cs="Times New Roman" w:eastAsia="Times New Roman" w:hAnsi="Times New Roman"/>
          <w:sz w:val="18"/>
          <w:szCs w:val="18"/>
          <w:color w:val="auto"/>
        </w:rPr>
        <w:t>” means New Alvogen Group Holdings, Inc., a Delaware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Alvotech Stake</w:t>
      </w:r>
      <w:r>
        <w:rPr>
          <w:rFonts w:ascii="Times New Roman" w:cs="Times New Roman" w:eastAsia="Times New Roman" w:hAnsi="Times New Roman"/>
          <w:sz w:val="18"/>
          <w:szCs w:val="18"/>
          <w:color w:val="auto"/>
        </w:rPr>
        <w:t>” means the Shares to be acquired by the Company pursuant to and in accordance with the Subscription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has the meaning given to that term in Clause 22.2 (</w:t>
      </w:r>
      <w:r>
        <w:rPr>
          <w:rFonts w:ascii="Times New Roman" w:cs="Times New Roman" w:eastAsia="Times New Roman" w:hAnsi="Times New Roman"/>
          <w:sz w:val="18"/>
          <w:szCs w:val="18"/>
          <w:i w:val="1"/>
          <w:iCs w:val="1"/>
          <w:color w:val="auto"/>
        </w:rPr>
        <w:t>Assignments and Transfers by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Shareholder Contribution</w:t>
      </w:r>
      <w:r>
        <w:rPr>
          <w:rFonts w:ascii="Times New Roman" w:cs="Times New Roman" w:eastAsia="Times New Roman" w:hAnsi="Times New Roman"/>
          <w:sz w:val="18"/>
          <w:szCs w:val="18"/>
          <w:color w:val="auto"/>
        </w:rPr>
        <w:t>” means any amount contributed to the Company’s share capital after the Closing Date on terms such that no shares or other securities are issued by the Company to the person making such contribution and no rights, obligations or liabilities (whether by operation of law, on a contractual basis, or otherwise) arise between such person and the Company.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7" w:name="page28"/>
    <w:bookmarkEnd w:id="27"/>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Shareholder Injection</w:t>
      </w:r>
      <w:r>
        <w:rPr>
          <w:rFonts w:ascii="Times New Roman" w:cs="Times New Roman" w:eastAsia="Times New Roman" w:hAnsi="Times New Roman"/>
          <w:sz w:val="18"/>
          <w:szCs w:val="18"/>
          <w:color w:val="auto"/>
        </w:rPr>
        <w:t>” means any amount subscribed for in cash in the Company after the Closing Date for any Permitted Share Issue of the Company or made available by way of New Shareholder Loan or contributed to the Company by way of New Shareholder Contribution, to the extent not:</w:t>
      </w:r>
    </w:p>
    <w:p>
      <w:pPr>
        <w:spacing w:after="0" w:line="175" w:lineRule="exact"/>
        <w:rPr>
          <w:sz w:val="20"/>
          <w:szCs w:val="20"/>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Funds Flow Statement;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funded from the proceeds of any other indebtedness of the Company.</w:t>
      </w:r>
    </w:p>
    <w:p>
      <w:pPr>
        <w:spacing w:after="0" w:line="221" w:lineRule="exact"/>
        <w:rPr>
          <w:sz w:val="20"/>
          <w:szCs w:val="20"/>
          <w:color w:val="auto"/>
        </w:rPr>
      </w:pPr>
    </w:p>
    <w:p>
      <w:pPr>
        <w:jc w:val="both"/>
        <w:ind w:left="4"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Shareholder Loan</w:t>
      </w:r>
      <w:r>
        <w:rPr>
          <w:rFonts w:ascii="Times New Roman" w:cs="Times New Roman" w:eastAsia="Times New Roman" w:hAnsi="Times New Roman"/>
          <w:sz w:val="18"/>
          <w:szCs w:val="18"/>
          <w:color w:val="auto"/>
        </w:rPr>
        <w:t>” means any unsecured loan, or any instrument or agreement evidencing a loan (as the case may be) made to the Company by the Third Party Security Provider after the Closing Date and not included in the Funds Flow Statement and which is subordinated as Subordinated Debt pursuant to the terms of (and as defined in) the Subordination Agreement and pledged pursuant to the terms of a Transaction Security Document or otherwise on terms satisfactory to the Majority Lenders (acting reasonably).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has the meaning given to that term in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Non-Voting Sub-Participation</w:t>
      </w:r>
      <w:r>
        <w:rPr>
          <w:rFonts w:ascii="Times New Roman" w:cs="Times New Roman" w:eastAsia="Times New Roman" w:hAnsi="Times New Roman"/>
          <w:sz w:val="18"/>
          <w:szCs w:val="18"/>
          <w:color w:val="auto"/>
        </w:rPr>
        <w:t>” means any sub-participation or sub-contract where no voting rights under the Finance Documents pass as a result of such sub-participation or sub-contract.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has the meaning given to that term in paragraph (j) of Clause 23 (</w:t>
      </w:r>
      <w:r>
        <w:rPr>
          <w:rFonts w:ascii="Times New Roman" w:cs="Times New Roman" w:eastAsia="Times New Roman" w:hAnsi="Times New Roman"/>
          <w:sz w:val="18"/>
          <w:szCs w:val="18"/>
          <w:i w:val="1"/>
          <w:iCs w:val="1"/>
          <w:color w:val="auto"/>
        </w:rPr>
        <w:t>Restriction on Debt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 Agent</w:t>
      </w:r>
      <w:r>
        <w:rPr>
          <w:rFonts w:ascii="Times New Roman" w:cs="Times New Roman" w:eastAsia="Times New Roman" w:hAnsi="Times New Roman"/>
          <w:sz w:val="18"/>
          <w:szCs w:val="18"/>
          <w:color w:val="auto"/>
        </w:rPr>
        <w:t>” means the Company or such other person appointed to act on behalf of the Third Party Security Provider in relation to the Finance Documents pursuant to Clause 2.3 (</w:t>
      </w:r>
      <w:r>
        <w:rPr>
          <w:rFonts w:ascii="Times New Roman" w:cs="Times New Roman" w:eastAsia="Times New Roman" w:hAnsi="Times New Roman"/>
          <w:sz w:val="18"/>
          <w:szCs w:val="18"/>
          <w:i w:val="1"/>
          <w:iCs w:val="1"/>
          <w:color w:val="auto"/>
        </w:rPr>
        <w:t>Obligors’ 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the annual audited financial statements of the Company for the financial year ending 31 December 2025 (as delivered to the Original Lenders prior to the date of this Agreement).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Funds Flow Statement</w:t>
      </w:r>
      <w:r>
        <w:rPr>
          <w:rFonts w:ascii="Times New Roman" w:cs="Times New Roman" w:eastAsia="Times New Roman" w:hAnsi="Times New Roman"/>
          <w:sz w:val="18"/>
          <w:szCs w:val="18"/>
          <w:color w:val="auto"/>
        </w:rPr>
        <w:t>” means a funds flow statement in the agreed form and delivered pursuant to Clause 4.1 (</w:t>
      </w:r>
      <w:r>
        <w:rPr>
          <w:rFonts w:ascii="Times New Roman" w:cs="Times New Roman" w:eastAsia="Times New Roman" w:hAnsi="Times New Roman"/>
          <w:sz w:val="18"/>
          <w:szCs w:val="18"/>
          <w:i w:val="1"/>
          <w:iCs w:val="1"/>
          <w:color w:val="auto"/>
        </w:rPr>
        <w:t>Initial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precedent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Direction Letter</w:t>
      </w:r>
      <w:r>
        <w:rPr>
          <w:rFonts w:ascii="Times New Roman" w:cs="Times New Roman" w:eastAsia="Times New Roman" w:hAnsi="Times New Roman"/>
          <w:sz w:val="18"/>
          <w:szCs w:val="18"/>
          <w:color w:val="auto"/>
        </w:rPr>
        <w:t>” means the payment direction letter dated on or about the date of this Agreement provided by the Company and which designates that all payments to be made to the Company under or in connection with the Redeemable Preferred Shares and the Earn-Out shall, following the occurrence of a Declared Default, be paid to the Collateral Account.</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the making or the procuring of the appropriate registrations, acknowledgements, filing, endorsements, notarisation, stampings and/or notifications of the Transaction Security Documents and/or the Security created thereunder as determined by the Agent (acting on the instructions of the Majority Lenders (acting reasonably)).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Redeemable Preferred Shares in accordance with the terms of the Redeemable Preferred Shares Documents;</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Shares pursuant to the Subscription Agreement or the exercise of Share Collateral Cure Rights;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pursuant to a Permitted Transaction;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constituting a Permitted Material Transaction;</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shares following the conversion of an intra-Group loan into equity to the extent such intra-Group loan was disclosed to, and approved in writing by, the Original Lender on or prior to the date of this Agreement;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cash;</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shares or securities pursuant to a Permitted Share Issue;</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 member of the Group of an asset sold, leased, transferred or otherwise disposed of by another member of the Group in circumstances constituting a Permitted Disposal; and</w:t>
      </w:r>
    </w:p>
    <w:p>
      <w:pPr>
        <w:spacing w:after="0" w:line="157"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the Shares other than pursuant to and in accordance with the Subscription Agreement (the “</w:t>
      </w:r>
      <w:r>
        <w:rPr>
          <w:rFonts w:ascii="Times New Roman" w:cs="Times New Roman" w:eastAsia="Times New Roman" w:hAnsi="Times New Roman"/>
          <w:sz w:val="18"/>
          <w:szCs w:val="18"/>
          <w:b w:val="1"/>
          <w:bCs w:val="1"/>
          <w:color w:val="auto"/>
        </w:rPr>
        <w:t>Further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provided that:</w:t>
      </w:r>
    </w:p>
    <w:p>
      <w:pPr>
        <w:spacing w:after="0" w:line="158" w:lineRule="exact"/>
        <w:rPr>
          <w:rFonts w:ascii="Times New Roman" w:cs="Times New Roman" w:eastAsia="Times New Roman" w:hAnsi="Times New Roman"/>
          <w:sz w:val="18"/>
          <w:szCs w:val="18"/>
          <w:color w:val="auto"/>
        </w:rPr>
      </w:pPr>
    </w:p>
    <w:p>
      <w:pPr>
        <w:spacing w:after="0"/>
        <w:tabs>
          <w:tab w:leader="none" w:pos="0" w:val="left"/>
        </w:tabs>
        <w:numPr>
          <w:ilvl w:val="1"/>
          <w:numId w:val="53"/>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1944" w:right="20" w:hanging="648"/>
        <w:spacing w:after="0" w:line="282" w:lineRule="auto"/>
        <w:tabs>
          <w:tab w:leader="none" w:pos="19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under the Finance Documents or would result from such Further Shares Acquisition;</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such Further Shares Acquisition is funded from New Shareholder Injections;</w:t>
      </w:r>
    </w:p>
    <w:p>
      <w:pPr>
        <w:spacing w:after="0" w:line="223" w:lineRule="exact"/>
        <w:rPr>
          <w:rFonts w:ascii="Times New Roman" w:cs="Times New Roman" w:eastAsia="Times New Roman" w:hAnsi="Times New Roman"/>
          <w:sz w:val="18"/>
          <w:szCs w:val="18"/>
          <w:color w:val="auto"/>
        </w:rPr>
      </w:pPr>
    </w:p>
    <w:p>
      <w:pPr>
        <w:ind w:left="1944" w:right="160" w:hanging="648"/>
        <w:spacing w:after="0" w:line="284" w:lineRule="auto"/>
        <w:tabs>
          <w:tab w:leader="none" w:pos="19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Borrwer will remain in compliance with paragraph (d) of Clause 20.34 (</w:t>
      </w:r>
      <w:r>
        <w:rPr>
          <w:rFonts w:ascii="Times New Roman" w:cs="Times New Roman" w:eastAsia="Times New Roman" w:hAnsi="Times New Roman"/>
          <w:sz w:val="18"/>
          <w:szCs w:val="18"/>
          <w:i w:val="1"/>
          <w:iCs w:val="1"/>
          <w:color w:val="auto"/>
        </w:rPr>
        <w:t>Constitutional Documents and Listing</w:t>
      </w:r>
      <w:r>
        <w:rPr>
          <w:rFonts w:ascii="Times New Roman" w:cs="Times New Roman" w:eastAsia="Times New Roman" w:hAnsi="Times New Roman"/>
          <w:sz w:val="18"/>
          <w:szCs w:val="18"/>
          <w:color w:val="auto"/>
        </w:rPr>
        <w:t>) on each Shares Acquisition Relevant Test Date;</w:t>
      </w:r>
    </w:p>
    <w:p>
      <w:pPr>
        <w:spacing w:after="0" w:line="160"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each Shares Acquisition Relevant Test Date, giving reasonable details of the calculations thereof, the Alvotech LTV (after giving pro forma effect to such Further Shares Acquisition, including with respect to the application of any proceeds thereof), shall not exceed the LTV Cap; and</w:t>
      </w:r>
    </w:p>
    <w:p>
      <w:pPr>
        <w:spacing w:after="0" w:line="202"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certified in an LTV Certificate to the Agent in writing that each of the conditions in paragraphs (i)(A), (i)(B), (i)(C) and (i)(D) above (the “</w:t>
      </w:r>
      <w:r>
        <w:rPr>
          <w:rFonts w:ascii="Times New Roman" w:cs="Times New Roman" w:eastAsia="Times New Roman" w:hAnsi="Times New Roman"/>
          <w:sz w:val="18"/>
          <w:szCs w:val="18"/>
          <w:b w:val="1"/>
          <w:bCs w:val="1"/>
          <w:color w:val="auto"/>
        </w:rPr>
        <w:t>Shares Acquisition Reporting Requirement</w:t>
      </w:r>
      <w:r>
        <w:rPr>
          <w:rFonts w:ascii="Times New Roman" w:cs="Times New Roman" w:eastAsia="Times New Roman" w:hAnsi="Times New Roman"/>
          <w:sz w:val="18"/>
          <w:szCs w:val="18"/>
          <w:color w:val="auto"/>
        </w:rPr>
        <w:t>”) are satisfied (i) by the date falling not later than 10 Business Days before the date of the Company (or such other person or entity as relevant) legally committing to the Further Shares Acquisition and (ii) as at the date of completion of the Further Shares Acquisition ((i) and (ii) each being a “</w:t>
      </w:r>
      <w:r>
        <w:rPr>
          <w:rFonts w:ascii="Times New Roman" w:cs="Times New Roman" w:eastAsia="Times New Roman" w:hAnsi="Times New Roman"/>
          <w:sz w:val="18"/>
          <w:szCs w:val="18"/>
          <w:b w:val="1"/>
          <w:bCs w:val="1"/>
          <w:color w:val="auto"/>
        </w:rPr>
        <w:t>Shares Acquisition Relevant Test Date</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received from such Further Shares Acquisition (including, without limitation, any coupon paid under the Redeemable Preferred Shares) shall be applied in prepayment of the Facility B Loan together with any applicable Call Price in accordance with Clause 8.2 (</w:t>
      </w:r>
      <w:r>
        <w:rPr>
          <w:rFonts w:ascii="Times New Roman" w:cs="Times New Roman" w:eastAsia="Times New Roman" w:hAnsi="Times New Roman"/>
          <w:sz w:val="18"/>
          <w:szCs w:val="18"/>
          <w:i w:val="1"/>
          <w:iCs w:val="1"/>
          <w:color w:val="auto"/>
        </w:rPr>
        <w:t>Disposal, Further Shares Acquisition and Insurance Proceeds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Disposals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any business, assets or shares permitted by paragraph (a) of Clause 20.12 (</w:t>
      </w:r>
      <w:r>
        <w:rPr>
          <w:rFonts w:ascii="Times New Roman" w:cs="Times New Roman" w:eastAsia="Times New Roman" w:hAnsi="Times New Roman"/>
          <w:sz w:val="18"/>
          <w:szCs w:val="18"/>
          <w:i w:val="1"/>
          <w:iCs w:val="1"/>
          <w:color w:val="auto"/>
        </w:rPr>
        <w:t>Amalgamations and Change of Business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Redeemable Preferred Shares pursuant to a Redeemable Preferred Shares Redemption Event provided that: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disposal is made:</w:t>
      </w:r>
    </w:p>
    <w:p>
      <w:pPr>
        <w:spacing w:after="0" w:line="252"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Lotus US Financing S.à r.l.;</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Redeemable Preferred Shares Documents; and</w:t>
      </w:r>
    </w:p>
    <w:p>
      <w:pPr>
        <w:spacing w:after="0" w:line="252"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consideration in cash at least equal to the notional value of such Redeemable Preferred Shares together with any accured and not yet capitalised coupon; and</w:t>
      </w:r>
    </w:p>
    <w:p>
      <w:pPr>
        <w:spacing w:after="0" w:line="18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disposal are applied in prepayment of the Facility together with any applicable Call Price in accordance with Clause 8.3 (</w:t>
      </w:r>
      <w:r>
        <w:rPr>
          <w:rFonts w:ascii="Times New Roman" w:cs="Times New Roman" w:eastAsia="Times New Roman" w:hAnsi="Times New Roman"/>
          <w:sz w:val="18"/>
          <w:szCs w:val="18"/>
          <w:i w:val="1"/>
          <w:iCs w:val="1"/>
          <w:color w:val="auto"/>
        </w:rPr>
        <w:t>Redeemable Preferred Shares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assets arising as a result of a Permitted Share Issue or Permitted Security;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assets arising as a result of a Permitted Transaction;</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an intra-Group loan as a result of the conversion of such intra-Group loan into equity pursuant to paragraph (e) of the definition of Permitted Acquisition to the extent such intra-Group loan was disclosed to, and approved in writing by, the Original Lender on or prior to the date of this Agreement;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assets (other than cash and shares (or similar ownership interests)) which are obsolete for the purpose for which such assets are normally utilised or which are no longer required for the purpose of the relevant person’s business or operations;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assets seized, expropriated or compulsorily acquired by the order of any central or local a governmental agency or authority which individually or together would not result in a breach of Clause 21.12 (</w:t>
      </w:r>
      <w:r>
        <w:rPr>
          <w:rFonts w:ascii="Times New Roman" w:cs="Times New Roman" w:eastAsia="Times New Roman" w:hAnsi="Times New Roman"/>
          <w:sz w:val="18"/>
          <w:szCs w:val="18"/>
          <w:i w:val="1"/>
          <w:iCs w:val="1"/>
          <w:color w:val="auto"/>
        </w:rPr>
        <w:t>Compulsory Acquisition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required by any applicable law or regulation or made in order to comply with regulatory requirements relating to the business from time to time carried on by the Group (including, without limitation, as relate to fair trading);</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cash or in exchange for other cash in a manner not prohibited by the Finance Documents;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to which the Majority Lenders shall have given their prior written consent.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Financial Indebtedness</w:t>
      </w:r>
      <w:r>
        <w:rPr>
          <w:rFonts w:ascii="Times New Roman" w:cs="Times New Roman" w:eastAsia="Times New Roman" w:hAnsi="Times New Roman"/>
          <w:sz w:val="18"/>
          <w:szCs w:val="18"/>
          <w:color w:val="auto"/>
        </w:rPr>
        <w:t>” means Financial Indebtedness:</w:t>
      </w:r>
    </w:p>
    <w:p>
      <w:pPr>
        <w:spacing w:after="0" w:line="229" w:lineRule="exact"/>
        <w:rPr>
          <w:sz w:val="20"/>
          <w:szCs w:val="20"/>
          <w:color w:val="auto"/>
        </w:rPr>
      </w:pPr>
    </w:p>
    <w:p>
      <w:pPr>
        <w:ind w:left="644" w:hanging="644"/>
        <w:spacing w:after="0"/>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the Finance Documents;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(or issued pursuant to) a Permitted Guarantee, a Permitted Loan, a Permitted Disposal, or as permitted under Clause 20.21 (</w:t>
      </w:r>
      <w:r>
        <w:rPr>
          <w:rFonts w:ascii="Times New Roman" w:cs="Times New Roman" w:eastAsia="Times New Roman" w:hAnsi="Times New Roman"/>
          <w:sz w:val="18"/>
          <w:szCs w:val="18"/>
          <w:i w:val="1"/>
          <w:iCs w:val="1"/>
          <w:color w:val="auto"/>
        </w:rPr>
        <w:t>Treasury Transactions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the Majority Lenders have given their prior written consent;</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30" w:name="page31"/>
    <w:bookmarkEnd w:id="30"/>
    <w:p>
      <w:pPr>
        <w:ind w:left="644" w:hanging="644"/>
        <w:spacing w:after="0" w:line="28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as a result of daylight exposures of any member of the Group in respect of banking arrangements entered into in the ordinary course of its treasury activities;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constitutes Shareholder Loans.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Guarantee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arising under the Finance Documents;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or in respect of Permitted Financial Indebtedness;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which the Agent (on the instructions of the Majority Lenders) has given prior written consent;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which, if it were a loan, would be a Permitted Loan to the extent the issuer of the relevant guarantee would have been entitled to make a loan in an equivalent amount under the definition of Permitted Loan to the person whose obligations are being guaranteed;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or indemnity provided by a member of the Group for the obligations of another member of the Group in connection with a member of the Group claiming exemption from audit, the preparation and filing of its accounts or other similar exemptions (including under section 394C, 448C or 479C of the Companies Act 2006 or other similar or equivalent provisions);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guarantees under any applicable law or regulation; and</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indemnities contained in mandate, engagement and commitment letters, facility agreements, purchase agreements and indentures, in each case entered into in respect of or in contemplation of Permitted Financial Indebtedness and/or refinancing of the Facilities.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Holding Company Activity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right="20"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Third Party Security Provider) the holding of shares in the Company and (in the case of the Company) the holding of the Alvotech LTV Shares, any Cure Collateral Share Collateral and the Redeemable Preferred Shares;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Permitted Loans (provided that the Third Party Security Provider shall only make Permitted Loans to the Company);</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Permitted Security and providing Permitted Guarantees to the extent consistent with the activities of a holding company in the ordinary course of its business as a holding company as contemplated by paragraphs (d) to (k) below;</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and performance of its obligations under the Transaction Documents;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Transaction Security to the Finance Parties in accordance with the terms of this Agreement;</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administrative, managerial, legal, treasury and accounting services and the secondment of employees to other members of the Group of a type customarily provided by a holding company to its Subsidiaries;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Financial Indebtedness (including without limitation any Shareholder Loans) permitted to be outstanding under the terms of this Agreement;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ind w:left="644" w:right="20" w:hanging="644"/>
        <w:spacing w:after="0" w:line="282"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Permitted Financial Indebtedness and entering into and performance of its obligations under any necessary document in connection thereto;</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or receipt of (x) any Permitted Payment, (y) any Permitted Disposal or (z) Permitted Share Issue;</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activities including without limitation those relating to overhead costs and paying filing fees and other ordinary course expenses (such as audit fees and Taxes), to include the fulfilment of any periodic reporting requirements;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other reasonable costs that relate to services provided or duties of the Group; and</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any liabilities in connection with the payment of salaries of management and employees of the Group, and participating in any management equity plan, incentive plan or employee or participation scheme or other similar scheme operated by, for the benefit of, on behalf of or in respect of any member of the Group or any Holding Company (and/or any current or past employees, directors or members of management of any member of the Group) including any steps and actions taken in connection with, or incidental to, such participation and the implementation thereof and approved by the board of the Company from time to time following the date of this Agreement.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Loan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by the Company in lieu of a distribution to its shareholders to the extent the same would be permitted as a Permitted Payment and to the extent that the amount of such loan does not exceed the amount which it could have made by way of such distribution;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which the Majority Lenders have given their prior written consent;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required to be made by mandatory provisions of law.</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Material Transaction</w:t>
      </w:r>
      <w:r>
        <w:rPr>
          <w:rFonts w:ascii="Times New Roman" w:cs="Times New Roman" w:eastAsia="Times New Roman" w:hAnsi="Times New Roman"/>
          <w:sz w:val="18"/>
          <w:szCs w:val="18"/>
          <w:color w:val="auto"/>
        </w:rPr>
        <w:t>” means any Material Transaction entered into by a member of the Restricted Group which prior to its entry into such Material Transaction, complies with each of the conditions set out below:</w:t>
      </w:r>
    </w:p>
    <w:p>
      <w:pPr>
        <w:spacing w:after="0" w:line="159" w:lineRule="exact"/>
        <w:rPr>
          <w:sz w:val="20"/>
          <w:szCs w:val="20"/>
          <w:color w:val="auto"/>
        </w:rPr>
      </w:pPr>
    </w:p>
    <w:p>
      <w:pPr>
        <w:jc w:val="both"/>
        <w:ind w:left="644" w:hanging="644"/>
        <w:spacing w:after="0" w:line="258"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Transaction which includes a proposed Restricted Payment, the Borrower has delivered to the Agent (which the Agent shall promptly forward to the Lenders) evidence satisfactory to the Majority Lenders (acting reasonably) that such payment is expressly permitted by any applicable partnership agreement, shareholders’ agreement, constitutional documents or any other similar document applicable to the relevant member of the Restricted Group, and all Authorisations required have been obtained in relation to such Restricted Payment;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304" w:hanging="656"/>
        <w:spacing w:after="0"/>
        <w:tabs>
          <w:tab w:leader="none" w:pos="13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under the Finance Documents or would result from such Material Transaction;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each Relevant Test Date, the Alvotech LTV (after giving pro forma effect to such Material Transaction, including with respect to the application of proceeds thereof) shall not exceed the LTV Cap; and</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left="1304" w:hanging="656"/>
        <w:spacing w:after="0" w:line="253" w:lineRule="auto"/>
        <w:tabs>
          <w:tab w:leader="none" w:pos="1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and the Cure Rights in Clause 21.2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the Borrower has certified in an LTV Certificate to the Agent in writing that each of the conditions in paragraphs (b)(i) and (ii) above (the “</w:t>
      </w:r>
      <w:r>
        <w:rPr>
          <w:rFonts w:ascii="Times New Roman" w:cs="Times New Roman" w:eastAsia="Times New Roman" w:hAnsi="Times New Roman"/>
          <w:sz w:val="18"/>
          <w:szCs w:val="18"/>
          <w:b w:val="1"/>
          <w:bCs w:val="1"/>
          <w:color w:val="auto"/>
        </w:rPr>
        <w:t>Reporting Requirement</w:t>
      </w:r>
      <w:r>
        <w:rPr>
          <w:rFonts w:ascii="Times New Roman" w:cs="Times New Roman" w:eastAsia="Times New Roman" w:hAnsi="Times New Roman"/>
          <w:sz w:val="18"/>
          <w:szCs w:val="18"/>
          <w:color w:val="auto"/>
        </w:rPr>
        <w:t>”) are satisfied (i) by the date falling not later than 10 Business Days before the date of the relevant member of the Restricted Group (or such other person or entity as relevant) legally committing to the Material Transaction and (ii) as at the date of completion of the Material Transaction ((i) and (ii) each being a “</w:t>
      </w:r>
      <w:r>
        <w:rPr>
          <w:rFonts w:ascii="Times New Roman" w:cs="Times New Roman" w:eastAsia="Times New Roman" w:hAnsi="Times New Roman"/>
          <w:sz w:val="18"/>
          <w:szCs w:val="18"/>
          <w:b w:val="1"/>
          <w:bCs w:val="1"/>
          <w:color w:val="auto"/>
        </w:rPr>
        <w:t>Relevant Test Date</w:t>
      </w:r>
      <w:r>
        <w:rPr>
          <w:rFonts w:ascii="Times New Roman" w:cs="Times New Roman" w:eastAsia="Times New Roman" w:hAnsi="Times New Roman"/>
          <w:sz w:val="18"/>
          <w:szCs w:val="18"/>
          <w:color w:val="auto"/>
        </w:rPr>
        <w:t>”), provided that such Reporting Requirement shall not apply to any Material Transaction that (A) is an intra-Group transaction between members of the Restricted Group where such intra-Group Material Transaction will not and could not reasonably be expected to (after giving pro forma effect to such Material Transaction) result in a breach of the Alvotech LTV as required by paragraph (b)(ii) above (each calculated on a pro forma basis for that transaction) as determined by the Company (acting reasonably and in good faith having exercised all due care and attention in making such determination) (B) is a Material Transaction comprising assets or consideration with a market value not exceeding $10,000,000 (taken together with any related Material Transactions) or (C) any equity investment for cash consideration received by the relevant member of the Restricted Group.</w:t>
      </w:r>
    </w:p>
    <w:p>
      <w:pPr>
        <w:spacing w:after="0" w:line="212"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Payment</w:t>
      </w:r>
      <w:r>
        <w:rPr>
          <w:rFonts w:ascii="Times New Roman" w:cs="Times New Roman" w:eastAsia="Times New Roman" w:hAnsi="Times New Roman"/>
          <w:sz w:val="18"/>
          <w:szCs w:val="18"/>
          <w:color w:val="auto"/>
        </w:rPr>
        <w:t>” means a payment including the cash payment of a dividend, repayment of equity, reduction of capital, loan, fee, charge or the cash payment of interest on, or repayment or prepayment of principal in respect of New Shareholder Injections or any other Shareholder Loan or other Financial Indebtedness, redemption, set-off, acquisition of liabilities or other discharge in each case to fund:</w:t>
      </w:r>
    </w:p>
    <w:p>
      <w:pPr>
        <w:spacing w:after="0" w:line="175" w:lineRule="exact"/>
        <w:rPr>
          <w:sz w:val="20"/>
          <w:szCs w:val="20"/>
          <w:color w:val="auto"/>
        </w:rPr>
      </w:pPr>
    </w:p>
    <w:p>
      <w:pPr>
        <w:jc w:val="both"/>
        <w:ind w:left="644" w:hanging="644"/>
        <w:spacing w:after="0" w:line="261"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enable or assist any Holding Company of the Company to pay its establishment costs or to pay Taxes, insurance premiums or administration fees, in each case to the extent required to maintain its existence and incurred by such Holding Company solely in respect of it being a Holding Company of the Group, provided that the aggregate amount of all payments under this paragraph, when aggregated with any amount paid under paragraph (c) below, shall not exceed $300,000 in each Financial Year of the Group;</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reflected in the Funds Flow Statement;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under service contracts of management of the Company or any Holding Company provided that the aggregate amount of all payments under this paragraph, when aggregated with any amount paid under paragraph (a) above, shall not exceed $250,000 in each Financial Year of the Group;</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for surrenders of group or other similar tax relief to the Group provided that such payment does not exceed the amount of tax which is actually saved by that member of the Group as a result of the relevant surrender or reallocation of such relief to it;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by a Subsidiary of the Company to its direct shareholders or to other members of the Group, proportionate to each such person’s shareholding in the capital of the Subsidiary making such payments and provided such payment is made in accordance with the terms of any applicable shareholders agreement or equivalent; and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repayment of Shareholder Loans or intra-Group loans, the consideration for which is a Permitted Share Issue, or which represents payment-in-kind (PIK), compounding or capitalising interest thereon (to the extent not paid in cash or by way of transfer of any asset).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33" w:name="page34"/>
    <w:bookmarkEnd w:id="33"/>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Sanction Action</w:t>
      </w:r>
      <w:r>
        <w:rPr>
          <w:rFonts w:ascii="Times New Roman" w:cs="Times New Roman" w:eastAsia="Times New Roman" w:hAnsi="Times New Roman"/>
          <w:sz w:val="18"/>
          <w:szCs w:val="18"/>
          <w:color w:val="auto"/>
        </w:rPr>
        <w:t>” means an action in relation to any Sanctions imposed, administered or enforced from time to time by a Sanctions Authority, which is licensed or otherwise authorized by that Sanctions Authority.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Security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liens in each case arising solely by operation of law and in the ordinary course of trading;</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over credit balances on bank accounts to facilitate operation of such bank accounts on a cash pooled net balance basis;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Security and Security arising under the Transaction Security Documents or other Security or Quasi Security arising under or in connection with the Finance Documents;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arising pursuant to an order of attachment or injunction restraining disposal of assets or similar legal process arising in connection with court proceedings which are contested by any member of the Group in good faith by appropriate proceeding provided (to the extent a member of the Group becomes aware thereof and unless prevented by any applicable law or regulation) written notice including evidence thereof is delivered to the Agent;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arising automatically by operation of law in favour of any taxation or any government authority or organisation in respect of taxes, assessments or governmental charges which are not yet due or the liability in respect of which is being contested by the relevant member of the Group in good faith by appropriate proceedings, provided (to the extent a member of the Group becomes aware thereof and unless prevented by any applicable law or regulation) written notice including evidence thereof is delivered to the Agent;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Security created pursuant to a court order or judgment or as security for costs arising pursuant to court proceedings being contested by the relevant member of the Group in good faith by appropriate proceedings and (y) any pledge and/or deposit securing any settlement of litigation provided (to the extent a member of the Group becomes aware thereof and unless prevented by any applicable law or regulation) written notice including evidence thereof is delivered to the Agent;</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under the general terms and conditions of banks with whom any member of the Group maintains a banking relationship in the ordinary course of business (other than with respect to any Luxembourg Obligor);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of set off or netting or charges arising by operation of law or by contract by virtue of the provision to any member of the Group of clearing bank or similar facilities or overdraft facilities and arising under the standard commercial terms and conditions of such;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 which the Majority Lenders have given their prior written consent.</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provided that, in each case, no member of the Group shall grant any Security in favour of any Restricted Person or Investor Affiliate (other than to any such person which is a Lender provided the requirements of Clause 23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 are satisfied).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Share Issue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 of shares by the Company not constituting a Change of Control;</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 of shares by a Subsidiary of the Company to its shareholders or to another member of the Group, provided that ownership interests (direct or indirect) of the Company in such Subsidiary prior to such issue is not diluted as a result and provided further that (in any such case) in the event that the shares of such Subsidiary are subject to Transaction Security prior to such issue, then the percentage of shares in such Subsidiary subject to Transaction Security is not diluted;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34" w:name="page35"/>
    <w:bookmarkEnd w:id="34"/>
    <w:p>
      <w:pPr>
        <w:ind w:left="644" w:hanging="644"/>
        <w:spacing w:after="0" w:line="284"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 of shares permitted pursuant to a Permitted Acquisition, or as permitted under paragraph (a) of Clause 20.12 (</w:t>
      </w:r>
      <w:r>
        <w:rPr>
          <w:rFonts w:ascii="Times New Roman" w:cs="Times New Roman" w:eastAsia="Times New Roman" w:hAnsi="Times New Roman"/>
          <w:sz w:val="18"/>
          <w:szCs w:val="18"/>
          <w:i w:val="1"/>
          <w:iCs w:val="1"/>
          <w:color w:val="auto"/>
        </w:rPr>
        <w:t>Amalgamations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Change of Business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of shares to which the Majority Lenders have given their prior written consent.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58"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required, Financial Indebtedness incurred, guarantee, indemnity, Security or Quasi Security given, or other transaction arising (including any Debt Purchase Transaction), under or in accordance with the Finance Documents or required to comply with applicable laws or regulations provided that the relevant disposal, Financial Indebtedness, guarantee, indemnity, Security or Quasi Security is permitted under the terms of this Agreement other than by reason of or reference to this paragraph (a) of Permitted Transaction;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of shares in any person upon the exercise of warrants, options or other securities convertible into or exchangeable for shares if such shares represents all or a portion of the exercise price of such warrants, options or other securities convertible into or exchangeable for shares as part of a “</w:t>
      </w:r>
      <w:r>
        <w:rPr>
          <w:rFonts w:ascii="Times New Roman" w:cs="Times New Roman" w:eastAsia="Times New Roman" w:hAnsi="Times New Roman"/>
          <w:sz w:val="18"/>
          <w:szCs w:val="18"/>
          <w:i w:val="1"/>
          <w:iCs w:val="1"/>
          <w:color w:val="auto"/>
        </w:rPr>
        <w:t>cashless</w:t>
      </w:r>
      <w:r>
        <w:rPr>
          <w:rFonts w:ascii="Times New Roman" w:cs="Times New Roman" w:eastAsia="Times New Roman" w:hAnsi="Times New Roman"/>
          <w:sz w:val="18"/>
          <w:szCs w:val="18"/>
          <w:color w:val="auto"/>
        </w:rPr>
        <w:t>” exercise, provided such warrants, options or other securities convertible into or exchangeable for shares were disclosed to, and approved by, the Original Lender on or prior to the date of this Agreement; and/or</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to which the Majority Lenders have given their prior written consent.</w:t>
      </w:r>
    </w:p>
    <w:p>
      <w:pPr>
        <w:spacing w:after="0" w:line="22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means the power of attorney dated on or about the date of this Agreement and granted by the Company in respect of all its rights under the Redeemable Preferred Shares Documents and which provides the Security Agent with the right to enforce all of the Company’s rights in relation to the Redeemable Preferred Shares and the Earn-Out following the occurrence of a Declared Default.</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Prohibited Payment</w:t>
      </w:r>
      <w:r>
        <w:rPr>
          <w:rFonts w:ascii="Times New Roman" w:cs="Times New Roman" w:eastAsia="Times New Roman" w:hAnsi="Times New Roman"/>
          <w:sz w:val="18"/>
          <w:szCs w:val="18"/>
          <w:color w:val="auto"/>
        </w:rPr>
        <w:t>” means any offer, gift, payment, promise to pay, commission, fee, loan or other consideration which would constitute bribery or an improper gift or payment under, or a breach of, any law of any Relevant Jurisdiction or England and Wales or within the OECD Convention on Combating Bribery of Foreign Public Officials in International Business Transactions of 17 December 1997.</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has the meaning given to that term in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Quasi Security</w:t>
      </w:r>
      <w:r>
        <w:rPr>
          <w:rFonts w:ascii="Times New Roman" w:cs="Times New Roman" w:eastAsia="Times New Roman" w:hAnsi="Times New Roman"/>
          <w:sz w:val="18"/>
          <w:szCs w:val="18"/>
          <w:color w:val="auto"/>
        </w:rPr>
        <w:t>” means a transaction or arrangement to:</w:t>
      </w:r>
    </w:p>
    <w:p>
      <w:pPr>
        <w:spacing w:after="0" w:line="229" w:lineRule="exact"/>
        <w:rPr>
          <w:sz w:val="20"/>
          <w:szCs w:val="20"/>
          <w:color w:val="auto"/>
        </w:rPr>
      </w:pPr>
    </w:p>
    <w:p>
      <w:pPr>
        <w:ind w:left="644" w:hanging="644"/>
        <w:spacing w:after="0" w:line="282"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to any person who is not a member of the Group any of its assets on terms whereby they are or may be leased to or re-acquired by any other member of the Group;</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receivables to any person who is not a member of the Group on recourse terms;</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35" w:name="page36"/>
    <w:bookmarkEnd w:id="35"/>
    <w:p>
      <w:pPr>
        <w:ind w:left="644" w:right="400" w:hanging="644"/>
        <w:spacing w:after="0" w:line="28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under which money or the benefit of a bank or other account may be applied, set-off or made subject to a combination of accounts;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other preferential arrangement having a similar effect,</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circumstances where the arrangement or transaction is entered into primarily as a method of raising Financial Indebtedness or of financing the acquisition of an asset.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means a receiver or receiver and manager or administrative receiver of the whole or any part of the Charged Property.</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Redeemable Preferred Shares</w:t>
      </w:r>
      <w:r>
        <w:rPr>
          <w:rFonts w:ascii="Times New Roman" w:cs="Times New Roman" w:eastAsia="Times New Roman" w:hAnsi="Times New Roman"/>
          <w:sz w:val="18"/>
          <w:szCs w:val="18"/>
          <w:color w:val="auto"/>
        </w:rPr>
        <w:t>” means the redeemable preferred shares issued by Lotus US Financing S.à r.l. and held by the Borrower, issued from time to time pursuant to the Lotus SPA and having the rights attributed to them in the Redeemable Preferred Shares Documents.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Redeemable Preferred Shares Documents</w:t>
      </w:r>
      <w:r>
        <w:rPr>
          <w:rFonts w:ascii="Times New Roman" w:cs="Times New Roman" w:eastAsia="Times New Roman" w:hAnsi="Times New Roman"/>
          <w:sz w:val="18"/>
          <w:szCs w:val="18"/>
          <w:color w:val="auto"/>
        </w:rPr>
        <w:t>” means the Lotus SPA, Lotus SHA and the Lotus articles of association (each in the form delivered to the Original Lender on or prior to the date of this Agreement).</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Redeemable Preferred Shares Redemption Event</w:t>
      </w:r>
      <w:r>
        <w:rPr>
          <w:rFonts w:ascii="Times New Roman" w:cs="Times New Roman" w:eastAsia="Times New Roman" w:hAnsi="Times New Roman"/>
          <w:sz w:val="18"/>
          <w:szCs w:val="18"/>
          <w:color w:val="auto"/>
        </w:rPr>
        <w:t>” means the redemption, repayment, sale, exchange or other monetisation of all Redeemable Preferred Shares held by the Company.</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Redeemable Preferred Shares Full Redemption Event</w:t>
      </w:r>
      <w:r>
        <w:rPr>
          <w:rFonts w:ascii="Times New Roman" w:cs="Times New Roman" w:eastAsia="Times New Roman" w:hAnsi="Times New Roman"/>
          <w:sz w:val="18"/>
          <w:szCs w:val="18"/>
          <w:color w:val="auto"/>
        </w:rPr>
        <w:t>” means the redemption, repayment, sale, exchange or other monetisation of any Redeemable Preferred Shares held by the Company.</w:t>
      </w:r>
    </w:p>
    <w:p>
      <w:pPr>
        <w:spacing w:after="0" w:line="155"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means any indebtedness incurred to refinance in full any indebtedness existing as at the original date of this Agreement provided that (a) the final stated maturity of that refinancing indebtedness is the same as or later than the indebtedness so refinanced,</w:t>
      </w:r>
    </w:p>
    <w:p>
      <w:pPr>
        <w:spacing w:after="0" w:line="1" w:lineRule="exact"/>
        <w:rPr>
          <w:sz w:val="20"/>
          <w:szCs w:val="20"/>
          <w:color w:val="auto"/>
        </w:rPr>
      </w:pPr>
    </w:p>
    <w:p>
      <w:pPr>
        <w:jc w:val="both"/>
        <w:ind w:left="4" w:hanging="4"/>
        <w:spacing w:after="0" w:line="253" w:lineRule="auto"/>
        <w:tabs>
          <w:tab w:leader="none" w:pos="2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that refinancing indebtedness does not exceed the aggregate principal amount of the indebtedness so refinanced (plus, without duplication, any additional indebtedness incurred to pay accrued and unpaid interest, fees, underwriting discounts and other fees and expenses, including any premiums, break costs, repayment protection or defeasance costs and costs, expenses, taxes and fees incurred in connection with such refinancing), and (c) the refinancing indebtedness is not guaranteed or secured to a greater extent than, and has the same ranking as, the indebtedness so refinanced.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given to that term in Clause 22.10 (</w:t>
      </w:r>
      <w:r>
        <w:rPr>
          <w:rFonts w:ascii="Times New Roman" w:cs="Times New Roman" w:eastAsia="Times New Roman" w:hAnsi="Times New Roman"/>
          <w:sz w:val="18"/>
          <w:szCs w:val="18"/>
          <w:i w:val="1"/>
          <w:iCs w:val="1"/>
          <w:color w:val="auto"/>
        </w:rPr>
        <w:t>The Register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xml:space="preserve">” in relation to a fund (the </w:t>
      </w:r>
      <w:r>
        <w:rPr>
          <w:rFonts w:ascii="Times New Roman" w:cs="Times New Roman" w:eastAsia="Times New Roman" w:hAnsi="Times New Roman"/>
          <w:sz w:val="18"/>
          <w:szCs w:val="18"/>
          <w:i w:val="1"/>
          <w:iCs w:val="1"/>
          <w:color w:val="auto"/>
        </w:rPr>
        <w:t>first fund</w:t>
      </w:r>
      <w:r>
        <w:rPr>
          <w:rFonts w:ascii="Times New Roman" w:cs="Times New Roman" w:eastAsia="Times New Roman" w:hAnsi="Times New Roman"/>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means, in relation to the Company and the Third Party Security Provider:</w:t>
      </w:r>
    </w:p>
    <w:p>
      <w:pPr>
        <w:spacing w:after="0" w:line="229" w:lineRule="exact"/>
        <w:rPr>
          <w:sz w:val="20"/>
          <w:szCs w:val="20"/>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jurisdiction of incorporation; and</w:t>
      </w:r>
    </w:p>
    <w:p>
      <w:pPr>
        <w:spacing w:after="0" w:line="225" w:lineRule="exact"/>
        <w:rPr>
          <w:rFonts w:ascii="Times New Roman" w:cs="Times New Roman" w:eastAsia="Times New Roman" w:hAnsi="Times New Roman"/>
          <w:sz w:val="18"/>
          <w:szCs w:val="18"/>
          <w:color w:val="auto"/>
        </w:rPr>
      </w:pPr>
    </w:p>
    <w:p>
      <w:pPr>
        <w:ind w:left="4" w:right="2960" w:hanging="4"/>
        <w:spacing w:after="0" w:line="498" w:lineRule="auto"/>
        <w:tabs>
          <w:tab w:leader="none" w:pos="6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whose laws govern any of the Transaction Security Documents entered into by it.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has the meaning given to that term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Restricted Group Transaction</w:t>
      </w:r>
      <w:r>
        <w:rPr>
          <w:rFonts w:ascii="Times New Roman" w:cs="Times New Roman" w:eastAsia="Times New Roman" w:hAnsi="Times New Roman"/>
          <w:sz w:val="18"/>
          <w:szCs w:val="18"/>
          <w:color w:val="auto"/>
        </w:rPr>
        <w:t>” has the meaning given to that term in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has the meaning given to it in Clause 17.30 (</w:t>
      </w:r>
      <w:r>
        <w:rPr>
          <w:rFonts w:ascii="Times New Roman" w:cs="Times New Roman" w:eastAsia="Times New Roman" w:hAnsi="Times New Roman"/>
          <w:sz w:val="18"/>
          <w:szCs w:val="18"/>
          <w:i w:val="1"/>
          <w:iCs w:val="1"/>
          <w:color w:val="auto"/>
        </w:rPr>
        <w:t>Repetition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any delegate, agent, manager, administrator, nominee, attorney, trustee or custodian.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22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Group</w:t>
      </w:r>
      <w:r>
        <w:rPr>
          <w:rFonts w:ascii="Times New Roman" w:cs="Times New Roman" w:eastAsia="Times New Roman" w:hAnsi="Times New Roman"/>
          <w:sz w:val="18"/>
          <w:szCs w:val="18"/>
          <w:color w:val="auto"/>
        </w:rPr>
        <w:t>” means each of the Company and its direct and indirect subsidiaries (including without limitation Alvotech and its respective subsidiaries) and for the purposes hereto, “subsidiaries” shall, for the avoidance of doubt, include any minority interest held by the Company in any such direct or indirect subsidiary irrespective of whether such interest shall amount to “control” of that subsidiary including without prejudice any Joint Venture.</w:t>
      </w:r>
    </w:p>
    <w:p>
      <w:pPr>
        <w:spacing w:after="0" w:line="176"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any Person that is (a) listed on, or owned or controlled by a person listed on, a Sanctions List, (b) a government of a Sanctioned Country, (c) an agency or instrumentality of, or an entity directly or indirectly owned or controlled by, a government of a Sanctioned Country, or (d) resident or located in, operating from, or incorporated under the laws of, a Sanctioned Country.</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the declaration or payment of a dividend, repayment of equity, any share issuance, any distribution of cash or assets, and any other return to or transaction with a shareholder of any member of the Restricted Group or any other arrangement having a similar effect.</w:t>
      </w:r>
    </w:p>
    <w:p>
      <w:pPr>
        <w:spacing w:after="0" w:line="17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means any Holding Company of Company, any Investor or any other person with an interest (direct or indirect) in the shares of the Company, except to the extent any such person is acting in its capacity as a Finance Party or as a manager or director of any member of the Group (and not in his/her capacity as a shareholder (directly or indirectly) in the Company), and excluding for the avoidance of doubt, the Company and any Subsidiary of the Company or, for the purpose of Clause 20.28 (</w:t>
      </w:r>
      <w:r>
        <w:rPr>
          <w:rFonts w:ascii="Times New Roman" w:cs="Times New Roman" w:eastAsia="Times New Roman" w:hAnsi="Times New Roman"/>
          <w:sz w:val="18"/>
          <w:szCs w:val="18"/>
          <w:i w:val="1"/>
          <w:iCs w:val="1"/>
          <w:color w:val="auto"/>
        </w:rPr>
        <w:t>Permitted Payments</w:t>
      </w:r>
      <w:r>
        <w:rPr>
          <w:rFonts w:ascii="Times New Roman" w:cs="Times New Roman" w:eastAsia="Times New Roman" w:hAnsi="Times New Roman"/>
          <w:sz w:val="18"/>
          <w:szCs w:val="18"/>
          <w:color w:val="auto"/>
        </w:rPr>
        <w:t>), is a portfolio company of an Investor, and excluding for the avoidance of doubt, the Company and any Subsidiary of the Company.</w:t>
      </w:r>
    </w:p>
    <w:p>
      <w:pPr>
        <w:spacing w:after="0" w:line="179"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means a sale of all or substantially all of the business and assets of the Group to persons who are not members of the Group (whether in a single transaction or a series of related transactions).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Sanctions.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any Sanctions Authority.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(a) the United States, (b) the United Nations Security Council, (c) the European Union, (d) the United Kingdom or</w:t>
      </w:r>
    </w:p>
    <w:p>
      <w:pPr>
        <w:spacing w:after="0" w:line="31" w:lineRule="exact"/>
        <w:rPr>
          <w:sz w:val="20"/>
          <w:szCs w:val="20"/>
          <w:color w:val="auto"/>
        </w:rPr>
      </w:pPr>
    </w:p>
    <w:p>
      <w:pPr>
        <w:jc w:val="both"/>
        <w:ind w:left="4" w:hanging="4"/>
        <w:spacing w:after="0" w:line="255" w:lineRule="auto"/>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governmental institutions of any of the foregoing including, without limitation, His Majesty’s Treasury, the Office of Foreign Assets Control of the US Department of the Treasury, the US Department of Commerce, the US Department of State and any other agency of the US government.</w:t>
      </w:r>
    </w:p>
    <w:p>
      <w:pPr>
        <w:spacing w:after="0" w:line="18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means any of the lists of specifically designated nationals or designated or sanctioned individuals or entities (or equivalent) issued by any Sanctions Authority, each as amended, supplemented or substituted from time to time.</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37" w:name="page38"/>
    <w:bookmarkEnd w:id="37"/>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Liabilities</w:t>
      </w:r>
      <w:r>
        <w:rPr>
          <w:rFonts w:ascii="Times New Roman" w:cs="Times New Roman" w:eastAsia="Times New Roman" w:hAnsi="Times New Roman"/>
          <w:sz w:val="18"/>
          <w:szCs w:val="18"/>
          <w:color w:val="auto"/>
        </w:rPr>
        <w:t>” means all present and future obligations and liabilities (whether actual or contingent and whether owed jointly or severally or as principal or surety or in any other capacity whatsoever and whether originally incurred by an Company or Third Party Security Provider or by some other person) of the Company and Third Party Security Provider to any Secured Party under or in connection with the Finance Documents and including, without limitation, the Call Price.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each Finance Party from time to time party to this Agreement and any Receiver or Delegate.</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land charge, charge, pledge, lien, security assignment, security transfer of title, retention of title arrangements, submission to enforcement, or other security interest having a similar effect.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Loan</w:t>
      </w:r>
      <w:r>
        <w:rPr>
          <w:rFonts w:ascii="Times New Roman" w:cs="Times New Roman" w:eastAsia="Times New Roman" w:hAnsi="Times New Roman"/>
          <w:sz w:val="18"/>
          <w:szCs w:val="18"/>
          <w:color w:val="auto"/>
        </w:rPr>
        <w:t>” means any Initial Shareholder Loan and any New Shareholder Loan.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and Swedish Depository Receipts of Alvotech listed, as applicable, on NASDAQ, NASDAQ Stockholm and NASDAQ Iceland (or, in each case, their respective successors).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Creditor</w:t>
      </w:r>
      <w:r>
        <w:rPr>
          <w:rFonts w:ascii="Times New Roman" w:cs="Times New Roman" w:eastAsia="Times New Roman" w:hAnsi="Times New Roman"/>
          <w:sz w:val="18"/>
          <w:szCs w:val="18"/>
          <w:color w:val="auto"/>
        </w:rPr>
        <w:t>” means the Third Party Security Provider.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in relation to the Subordinated Creditor, has the meaning given to it in the Subordination Agreement.</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the subordination agreement entered into or to be entered into by the Borrower, the Subordinated Creditor and the Security Agent in an agreed form.</w:t>
      </w:r>
    </w:p>
    <w:p>
      <w:pPr>
        <w:spacing w:after="0" w:line="15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a subscription agreement entered into on or around 15 June 2026 by Alvotech as the Company and the Borrower as the Investor.</w:t>
      </w:r>
    </w:p>
    <w:p>
      <w:pPr>
        <w:spacing w:after="0" w:line="15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person, any entity which is controlled directly or indirectly by that person and any entity (whether or not so controlled) treated as a subsidiary in the latest financial statements of that person from time to time, and “control” for this purpose means the direct or indirect ownership of the majority of the voting share capital of such entity or the right or ability to direct management to comply with the type of material restrictions and obligations contemplated in this Agreement or to determine the composition of a majority of the board of directors (or like board) of such entity, in each case whether by virtue of ownership of share capital, contract or otherwise it being understood that Alvotech and its respective subsidiaries do not constitute a Subsidiary of the Company.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 Majority Lenders</w:t>
      </w:r>
      <w:r>
        <w:rPr>
          <w:rFonts w:ascii="Times New Roman" w:cs="Times New Roman" w:eastAsia="Times New Roman" w:hAnsi="Times New Roman"/>
          <w:sz w:val="18"/>
          <w:szCs w:val="18"/>
          <w:color w:val="auto"/>
        </w:rPr>
        <w:t>” means, at any time:</w:t>
      </w:r>
    </w:p>
    <w:p>
      <w:pPr>
        <w:spacing w:after="0" w:line="229" w:lineRule="exact"/>
        <w:rPr>
          <w:sz w:val="20"/>
          <w:szCs w:val="20"/>
          <w:color w:val="auto"/>
        </w:rPr>
      </w:pPr>
    </w:p>
    <w:p>
      <w:pPr>
        <w:ind w:left="644" w:hanging="644"/>
        <w:spacing w:after="0"/>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or Lenders whose Commitments aggregate 80 per cent. or more of the Total Commitments; and</w:t>
      </w:r>
    </w:p>
    <w:p>
      <w:pPr>
        <w:spacing w:after="0" w:line="225"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Commitments have been reduced to zero, whose Commitments aggregated to 80 per cent. or more of the Total Commitments immediately prior to that reduction.</w:t>
      </w:r>
    </w:p>
    <w:p>
      <w:pPr>
        <w:spacing w:after="0" w:line="158"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Law</w:t>
      </w:r>
      <w:r>
        <w:rPr>
          <w:rFonts w:ascii="Times New Roman" w:cs="Times New Roman" w:eastAsia="Times New Roman" w:hAnsi="Times New Roman"/>
          <w:sz w:val="18"/>
          <w:szCs w:val="18"/>
          <w:color w:val="auto"/>
        </w:rPr>
        <w:t>” means, in respect of Alvotech, the Luxembourg law of 19 May 2006 on takeover bids implementing Directive EU 2004/25/EC of 21 April 2004 on takeover bids and any other similar laws applicable to it (as amended).</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 and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earlier of (i) the date that is 12 Months from the Closing Date and (ii) the first date on which a Redeemable Preferred Shares Full Redemption Event occurs.</w:t>
      </w:r>
    </w:p>
    <w:p>
      <w:pPr>
        <w:spacing w:after="0" w:line="15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Commitments</w:t>
      </w:r>
      <w:r>
        <w:rPr>
          <w:rFonts w:ascii="Times New Roman" w:cs="Times New Roman" w:eastAsia="Times New Roman" w:hAnsi="Times New Roman"/>
          <w:sz w:val="18"/>
          <w:szCs w:val="18"/>
          <w:color w:val="auto"/>
        </w:rPr>
        <w:t>” means (without double counting) the aggregate of the Total Facility B Commitments.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B Commitments</w:t>
      </w:r>
      <w:r>
        <w:rPr>
          <w:rFonts w:ascii="Times New Roman" w:cs="Times New Roman" w:eastAsia="Times New Roman" w:hAnsi="Times New Roman"/>
          <w:sz w:val="18"/>
          <w:szCs w:val="18"/>
          <w:color w:val="auto"/>
        </w:rPr>
        <w:t>” means the aggregate of the Facility B Commitments, being $40,000,000 as at the date of this Agreement.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Instruments</w:t>
      </w:r>
      <w:r>
        <w:rPr>
          <w:rFonts w:ascii="Times New Roman" w:cs="Times New Roman" w:eastAsia="Times New Roman" w:hAnsi="Times New Roman"/>
          <w:sz w:val="18"/>
          <w:szCs w:val="18"/>
          <w:color w:val="auto"/>
        </w:rPr>
        <w:t>” means any performance bonds, advance payment bonds or documentary letters of credit issued in respect of the obligations of any member of the Group arising in the ordinary course of trading of that member of the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Suspension</w:t>
      </w:r>
      <w:r>
        <w:rPr>
          <w:rFonts w:ascii="Times New Roman" w:cs="Times New Roman" w:eastAsia="Times New Roman" w:hAnsi="Times New Roman"/>
          <w:sz w:val="18"/>
          <w:szCs w:val="18"/>
          <w:color w:val="auto"/>
        </w:rPr>
        <w:t>” occurs when the Shares are suspended from trading on the NASDAQ, NASDAQ Stockholm or NASDAQ Iceland for five</w:t>
      </w:r>
    </w:p>
    <w:p>
      <w:pPr>
        <w:spacing w:after="0" w:line="31" w:lineRule="exact"/>
        <w:rPr>
          <w:sz w:val="20"/>
          <w:szCs w:val="20"/>
          <w:color w:val="auto"/>
        </w:rPr>
      </w:pPr>
    </w:p>
    <w:p>
      <w:pPr>
        <w:ind w:left="4" w:hanging="4"/>
        <w:spacing w:after="0" w:line="260" w:lineRule="auto"/>
        <w:tabs>
          <w:tab w:leader="none" w:pos="2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on which the NASDAQ, NASDAQ Stockholm or NASDAQ Iceland, as applicable, is open for trading during its regular trading sessions, notwithstanding the applicable exchange closing prior to its scheduled closing time.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subscription for 10,133,333 Shares by the Company pursuant to the Subscription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Closing Date</w:t>
      </w:r>
      <w:r>
        <w:rPr>
          <w:rFonts w:ascii="Times New Roman" w:cs="Times New Roman" w:eastAsia="Times New Roman" w:hAnsi="Times New Roman"/>
          <w:sz w:val="18"/>
          <w:szCs w:val="18"/>
          <w:color w:val="auto"/>
        </w:rPr>
        <w:t>” means the date on which the Transaction is completed in accordance with its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Finance Documents and the Equity Documents.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w:t>
      </w:r>
      <w:r>
        <w:rPr>
          <w:rFonts w:ascii="Times New Roman" w:cs="Times New Roman" w:eastAsia="Times New Roman" w:hAnsi="Times New Roman"/>
          <w:sz w:val="18"/>
          <w:szCs w:val="18"/>
          <w:color w:val="auto"/>
        </w:rPr>
        <w:t>” means the Security created or expressed to be created in favour of the Secured Parties (represented by the Security Agent, as the case may be) pursuant to the Transaction Security Documents.</w:t>
      </w:r>
    </w:p>
    <w:p>
      <w:pPr>
        <w:spacing w:after="0" w:line="15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 Documents</w:t>
      </w:r>
      <w:r>
        <w:rPr>
          <w:rFonts w:ascii="Times New Roman" w:cs="Times New Roman" w:eastAsia="Times New Roman" w:hAnsi="Times New Roman"/>
          <w:sz w:val="18"/>
          <w:szCs w:val="18"/>
          <w:color w:val="auto"/>
        </w:rPr>
        <w:t>” means each of the security documents listed as being a Transaction Security Document in Schedule 2 (</w:t>
      </w:r>
      <w:r>
        <w:rPr>
          <w:rFonts w:ascii="Times New Roman" w:cs="Times New Roman" w:eastAsia="Times New Roman" w:hAnsi="Times New Roman"/>
          <w:sz w:val="18"/>
          <w:szCs w:val="18"/>
          <w:i w:val="1"/>
          <w:iCs w:val="1"/>
          <w:color w:val="auto"/>
        </w:rPr>
        <w:t>Conditions Precedent to Utilisation</w:t>
      </w:r>
      <w:r>
        <w:rPr>
          <w:rFonts w:ascii="Times New Roman" w:cs="Times New Roman" w:eastAsia="Times New Roman" w:hAnsi="Times New Roman"/>
          <w:sz w:val="18"/>
          <w:szCs w:val="18"/>
          <w:color w:val="auto"/>
        </w:rPr>
        <w:t>) together with any other document entered into by the Company or the Third Party Security Provider creating or expressed to create any Security or Quasi Security over all or any part of its assets in respect of the obligations of the Company or the Third Party Security Provider under any of the Finance Documents.</w:t>
      </w:r>
    </w:p>
    <w:p>
      <w:pPr>
        <w:spacing w:after="0" w:line="176"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4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Agent and the Company.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later of:</w:t>
      </w:r>
    </w:p>
    <w:p>
      <w:pPr>
        <w:spacing w:after="0" w:line="229" w:lineRule="exact"/>
        <w:rPr>
          <w:sz w:val="20"/>
          <w:szCs w:val="20"/>
          <w:color w:val="auto"/>
        </w:rPr>
      </w:pPr>
    </w:p>
    <w:p>
      <w:pPr>
        <w:ind w:left="1304" w:hanging="656"/>
        <w:spacing w:after="0"/>
        <w:tabs>
          <w:tab w:leader="none" w:pos="13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relevant Assignment Agreement or Transfer Certificate;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relevant Assignment Agreement or Transfer Certificate.</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Transactions</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the appointment of an administrator, provisional liquidator, receiver, trustee, custodian or other similar official by a supervisory authority or regulator under or pursuant to the law in the country where such Finance Party is subject to home jurisdiction suspension, if applicable law requires that such appointment is not to be publicly disclosed.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the Company or the Third Party Security Provider under the Finance Documents.</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 Utilisation, being the date on which the relevant Loan is to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relevant form set out in Schedule 3 (</w:t>
      </w:r>
      <w:r>
        <w:rPr>
          <w:rFonts w:ascii="Times New Roman" w:cs="Times New Roman" w:eastAsia="Times New Roman" w:hAnsi="Times New Roman"/>
          <w:sz w:val="18"/>
          <w:szCs w:val="18"/>
          <w:i w:val="1"/>
          <w:iCs w:val="1"/>
          <w:color w:val="auto"/>
        </w:rPr>
        <w:t>Form of Utilisation Request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pursuant to the United Kingdom Value Added Tax Act 1994;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a member state of the European Union in substitution for, or levied in addition to, such tax referred to in paragraphs (a) or (b) above, or imposed elsewhere).</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Sub-Participation</w:t>
      </w:r>
      <w:r>
        <w:rPr>
          <w:rFonts w:ascii="Times New Roman" w:cs="Times New Roman" w:eastAsia="Times New Roman" w:hAnsi="Times New Roman"/>
          <w:sz w:val="18"/>
          <w:szCs w:val="18"/>
          <w:color w:val="auto"/>
        </w:rPr>
        <w:t>” means any sub-participation or sub-contract where any voting rights under the Finance Documents pass as a result of such sub-participation or sub-contract as at the time of entry into such sub-participation or sub-contract.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reference in this Agreement to:</w:t>
      </w:r>
    </w:p>
    <w:p>
      <w:pPr>
        <w:spacing w:after="0" w:line="221" w:lineRule="exact"/>
        <w:rPr>
          <w:rFonts w:ascii="Times New Roman" w:cs="Times New Roman" w:eastAsia="Times New Roman" w:hAnsi="Times New Roman"/>
          <w:sz w:val="18"/>
          <w:szCs w:val="18"/>
          <w:color w:val="auto"/>
        </w:rPr>
      </w:pPr>
    </w:p>
    <w:p>
      <w:pPr>
        <w:jc w:val="both"/>
        <w:ind w:left="1960" w:hanging="656"/>
        <w:spacing w:after="0" w:line="259"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Third Party Security Provider</w:t>
      </w:r>
      <w:r>
        <w:rPr>
          <w:rFonts w:ascii="Times New Roman" w:cs="Times New Roman" w:eastAsia="Times New Roman" w:hAnsi="Times New Roman"/>
          <w:sz w:val="18"/>
          <w:szCs w:val="18"/>
          <w:color w:val="auto"/>
        </w:rPr>
        <w:t>” or any other person shall be construed so as to include its successors in title (including the surviving entity of any merger involving that person), permitted assigns and permitted transferees and, in the case of the Security Agent, any person for the time being appointed as Security Agent or Security Agents in accordance with the Finance Documents;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a document which is previously agreed in writing by or on behalf of the Agent and the Company;</w:t>
      </w:r>
    </w:p>
    <w:p>
      <w:pPr>
        <w:spacing w:after="0" w:line="154"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includes any amendment, supplement, variation, novation, modification, replacement or restatement (however fundamental), and amend and amended shall be construed accordingly;</w:t>
      </w:r>
    </w:p>
    <w:p>
      <w:pPr>
        <w:spacing w:after="0" w:line="154"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properties, assets, businesses, undertakings, revenues and rights of every kind (including uncalled share capital), present and future, actual or contingent and any interest in any of the foregoing;</w:t>
      </w:r>
    </w:p>
    <w:p>
      <w:pPr>
        <w:spacing w:after="0" w:line="154"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includes an authorisation, permit, approval, consent, exemption, licence, order, filing, registration, recording, notarisation, permission or waiver;</w:t>
      </w:r>
    </w:p>
    <w:p>
      <w:pPr>
        <w:spacing w:after="0" w:line="181"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includes any sale, transfer, grant, lease, licence or other disposal, whether voluntary or involuntary, and dispose will be construed accordingly;</w:t>
      </w:r>
    </w:p>
    <w:p>
      <w:pPr>
        <w:spacing w:after="0" w:line="181" w:lineRule="exact"/>
        <w:rPr>
          <w:rFonts w:ascii="Times New Roman" w:cs="Times New Roman" w:eastAsia="Times New Roman" w:hAnsi="Times New Roman"/>
          <w:sz w:val="18"/>
          <w:szCs w:val="18"/>
          <w:color w:val="auto"/>
        </w:rPr>
      </w:pPr>
    </w:p>
    <w:p>
      <w:pPr>
        <w:jc w:val="both"/>
        <w:ind w:left="840" w:hanging="656"/>
        <w:spacing w:after="0" w:line="262"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or any other agreement or instrument is (unless expressed to be a reference to such document, agreement or instrument in its original form or form as at a particular date) a reference to that Finance Document or Transaction Document or other agreement or instrument as amended, novated, supplemented, extended or restated;</w:t>
      </w:r>
    </w:p>
    <w:p>
      <w:pPr>
        <w:spacing w:after="0" w:line="176" w:lineRule="exact"/>
        <w:rPr>
          <w:rFonts w:ascii="Times New Roman" w:cs="Times New Roman" w:eastAsia="Times New Roman" w:hAnsi="Times New Roman"/>
          <w:sz w:val="18"/>
          <w:szCs w:val="18"/>
          <w:color w:val="auto"/>
        </w:rPr>
      </w:pPr>
    </w:p>
    <w:p>
      <w:pPr>
        <w:jc w:val="both"/>
        <w:ind w:left="840" w:hanging="656"/>
        <w:spacing w:after="0" w:line="262"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203"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154"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includes losses, actions, damages, claims, proceedings, costs, demands, expenses (including legal and other fees) and liabilities of any kind, and loss shall be construed accordingly;</w:t>
      </w:r>
    </w:p>
    <w:p>
      <w:pPr>
        <w:spacing w:after="0" w:line="154" w:lineRule="exact"/>
        <w:rPr>
          <w:rFonts w:ascii="Times New Roman" w:cs="Times New Roman" w:eastAsia="Times New Roman" w:hAnsi="Times New Roman"/>
          <w:sz w:val="18"/>
          <w:szCs w:val="18"/>
          <w:color w:val="auto"/>
        </w:rPr>
      </w:pPr>
    </w:p>
    <w:p>
      <w:pPr>
        <w:jc w:val="both"/>
        <w:ind w:left="840" w:hanging="656"/>
        <w:spacing w:after="0" w:line="268"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includes the making of acquisitions, reorganisations, disposals, incurring Financial Indebtedness, granting loans and granting guarantees, the granting of Security or Quasi Security, the making of payments and taking any other action contemplated by the restrictions and otherwise in Clause 20 (</w:t>
      </w:r>
      <w:r>
        <w:rPr>
          <w:rFonts w:ascii="Times New Roman" w:cs="Times New Roman" w:eastAsia="Times New Roman" w:hAnsi="Times New Roman"/>
          <w:sz w:val="18"/>
          <w:szCs w:val="18"/>
          <w:i w:val="1"/>
          <w:iCs w:val="1"/>
          <w:color w:val="auto"/>
        </w:rPr>
        <w:t>General Undertakings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840" w:right="20" w:hanging="656"/>
        <w:spacing w:after="0" w:line="28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company, corporation, government, state or agency of a state or any association, trust, joint venture, consortium or partnership (whether or not having separate legal personality);</w:t>
      </w:r>
    </w:p>
    <w:p>
      <w:pPr>
        <w:spacing w:after="0" w:line="181" w:lineRule="exact"/>
        <w:rPr>
          <w:rFonts w:ascii="Times New Roman" w:cs="Times New Roman" w:eastAsia="Times New Roman" w:hAnsi="Times New Roman"/>
          <w:sz w:val="18"/>
          <w:szCs w:val="18"/>
          <w:color w:val="auto"/>
        </w:rPr>
      </w:pPr>
    </w:p>
    <w:p>
      <w:pPr>
        <w:jc w:val="both"/>
        <w:ind w:left="840" w:hanging="656"/>
        <w:spacing w:after="0" w:line="268"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but if not having force of law which are binding or customarily complied with) of any governmental, intergovernmental or supranational body, agency, department or of any regulatory, self-regulatory or other authority or organisation;</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3" w:right="339" w:bottom="1440" w:gutter="0" w:footer="0" w:header="0"/>
        </w:sectPr>
      </w:pPr>
    </w:p>
    <w:bookmarkStart w:id="41" w:name="page42"/>
    <w:bookmarkEnd w:id="41"/>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London time unless stated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(including an Event of Default) is continuing if it has not been remedied or waived. A Declared Default is continuing unless the relevant demand or notice has been revoked by the Agent (acting on the instructions of the Majority Lenders who gave or instructed the giving of the relevant demand or notice (as applicable)).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procure compliance with the relevant provisions of this Agreement by members of the Restricted Group. If it is not possible for the Company to, or they are otherwise unable to procure compliance with such provisions by the relevant members of the Restricted Group, this shall, notwithstanding the inability of the Company to procure such compliance, constitute a Default or Event of Default (howsoever applicable) and, for the avoidance of doubt, no such triggering of a Default or Event of Default shall be avoided by reason of frustration of contract or otherwise and such Default or Event of Default shall be deemed to occur by reference to the occurrence of the relevant circumstances that the Company were unable to or failed to procure.</w:t>
      </w:r>
    </w:p>
    <w:p>
      <w:pPr>
        <w:spacing w:after="0" w:line="21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equivalent of an amount specified in a particular currency (the specified currency amount) shall be construed as a reference to the amount of any other relevant currency which can be purchased with the specified currency amount to the Agent’s Spot Rate of Exchange on the date on which the calculation falls to be made for spot delivery, as determined by the Agent.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mean the lawful currency for the time being of the United States of America.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Luxembourg Terms</w:t>
      </w:r>
      <w:r>
        <w:rPr>
          <w:rFonts w:ascii="Times New Roman" w:cs="Times New Roman" w:eastAsia="Times New Roman" w:hAnsi="Times New Roman"/>
          <w:sz w:val="17"/>
          <w:szCs w:val="17"/>
          <w:color w:val="auto"/>
        </w:rPr>
        <w:t>In the Finance Documents, where it relates to the Company or Third Party Security Provider, a reference to:</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“organizational documents”, “constitutional documents” and/or “fund documents” includes its up-to-date (restated) articles of association (statuts coordonnés) or its limited partnership agreement (contrat social), as well as any shareholders agreement (pacte d’actionnaires/associés);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“manager” or “officer”, includes a gérant or an administrateur or, in case of a partnership, a gérant or administrateur of its general partner;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left="644" w:hanging="644"/>
        <w:spacing w:after="0" w:line="255"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of payments”, “moratorium of any indebtedness”, “winding up”, “insolvency”, “reorganisation”, “administration” or “dissolution” includes, without limitation, any procedure or proceeding in relation to an entity becoming bankrupt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voluntary or judicial liquidation,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according to the law of 7 August 2023 on the preservation of companies and modernisation of the bankruptcy law, a reorganisation by amicable agreement (</w:t>
      </w:r>
      <w:r>
        <w:rPr>
          <w:rFonts w:ascii="Times New Roman" w:cs="Times New Roman" w:eastAsia="Times New Roman" w:hAnsi="Times New Roman"/>
          <w:sz w:val="18"/>
          <w:szCs w:val="18"/>
          <w:i w:val="1"/>
          <w:iCs w:val="1"/>
          <w:color w:val="auto"/>
        </w:rPr>
        <w:t>réorganisation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 amiable</w:t>
      </w:r>
      <w:r>
        <w:rPr>
          <w:rFonts w:ascii="Times New Roman" w:cs="Times New Roman" w:eastAsia="Times New Roman" w:hAnsi="Times New Roman"/>
          <w:sz w:val="18"/>
          <w:szCs w:val="18"/>
          <w:color w:val="auto"/>
        </w:rPr>
        <w:t>), a judicial reorganisation (</w:t>
      </w:r>
      <w:r>
        <w:rPr>
          <w:rFonts w:ascii="Times New Roman" w:cs="Times New Roman" w:eastAsia="Times New Roman" w:hAnsi="Times New Roman"/>
          <w:sz w:val="18"/>
          <w:szCs w:val="18"/>
          <w:i w:val="1"/>
          <w:iCs w:val="1"/>
          <w:color w:val="auto"/>
        </w:rPr>
        <w:t>réorganisation judiciaire</w:t>
      </w:r>
      <w:r>
        <w:rPr>
          <w:rFonts w:ascii="Times New Roman" w:cs="Times New Roman" w:eastAsia="Times New Roman" w:hAnsi="Times New Roman"/>
          <w:sz w:val="18"/>
          <w:szCs w:val="18"/>
          <w:color w:val="auto"/>
        </w:rPr>
        <w:t>) or a court-ordered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with creditors, reorganisation or any other similar proceedings affecting the rights of creditors generally under Luxembourg law, and shall be construed so as to include any equivalent or analogous liquidation or reorganization proceedings;</w:t>
      </w:r>
    </w:p>
    <w:p>
      <w:pPr>
        <w:spacing w:after="0" w:line="21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a conservatory attachment (</w:t>
      </w:r>
      <w:r>
        <w:rPr>
          <w:rFonts w:ascii="Times New Roman" w:cs="Times New Roman" w:eastAsia="Times New Roman" w:hAnsi="Times New Roman"/>
          <w:sz w:val="18"/>
          <w:szCs w:val="18"/>
          <w:i w:val="1"/>
          <w:iCs w:val="1"/>
          <w:color w:val="auto"/>
        </w:rPr>
        <w:t>saisie conservatoire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liquidator, trustee in bankruptcy, judicial custodian, compulsory manager, receiver, administrator receiver, administrator or similar officer includes, without limitation, any:</w:t>
      </w:r>
    </w:p>
    <w:p>
      <w:pPr>
        <w:spacing w:after="0" w:line="15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juge-commissaire or insolvency receiver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appointed under the Luxembourg commercial code;</w:t>
      </w:r>
    </w:p>
    <w:p>
      <w:pPr>
        <w:spacing w:after="0" w:line="227"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liquidateur appointed under Articles 1100-1 to 1100-15 (inclusive) of the Luxembourg act dated 10 August 1915 on commercial companies, as amended;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juge-commissaire or liquidateur appointed under Article 1200-1 of the Luxembourg act dated 10 August 1915 on commercial companies, as amended;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“administrative receiver”, “administrator” or the like includes, without limitation, a juge délégué, commissaire, juge-commissaire, liquidateur or curateur or any other person performing the same function of each of the foregoing;</w:t>
      </w:r>
    </w:p>
    <w:p>
      <w:pPr>
        <w:spacing w:after="0" w:line="159" w:lineRule="exact"/>
        <w:rPr>
          <w:rFonts w:ascii="Times New Roman" w:cs="Times New Roman" w:eastAsia="Times New Roman" w:hAnsi="Times New Roman"/>
          <w:sz w:val="18"/>
          <w:szCs w:val="18"/>
          <w:color w:val="auto"/>
        </w:rPr>
      </w:pPr>
    </w:p>
    <w:p>
      <w:pPr>
        <w:jc w:val="both"/>
        <w:ind w:left="644" w:hanging="644"/>
        <w:spacing w:after="0" w:line="267"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 or “security” or a “security interest” includes any </w:t>
      </w:r>
      <w:r>
        <w:rPr>
          <w:rFonts w:ascii="Times New Roman" w:cs="Times New Roman" w:eastAsia="Times New Roman" w:hAnsi="Times New Roman"/>
          <w:sz w:val="18"/>
          <w:szCs w:val="18"/>
          <w:i w:val="1"/>
          <w:iCs w:val="1"/>
          <w:color w:val="auto"/>
        </w:rPr>
        <w:t>hypothèque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nantissement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privilège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 de transfert de propriété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titre de garantie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sûreté réelle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droit de rétention</w:t>
      </w:r>
      <w:r>
        <w:rPr>
          <w:rFonts w:ascii="Times New Roman" w:cs="Times New Roman" w:eastAsia="Times New Roman" w:hAnsi="Times New Roman"/>
          <w:sz w:val="18"/>
          <w:szCs w:val="18"/>
          <w:color w:val="auto"/>
        </w:rPr>
        <w:t>, and any type of security in rem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or agreement or arrangement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effect and any transfer of title by way of security;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includes (i) any guarantee which is independent from the debt to which it relates and excludes any suretyship (cautionnement) within the meaning of Article 2011 and seq. of the Luxembourg Civil Code and (ii) any professional payment guarantee (garantie professionnelle de paiement) within the meaning of the Luxembourg law dated 10 July 2020;</w:t>
      </w:r>
    </w:p>
    <w:p>
      <w:pPr>
        <w:spacing w:after="0" w:line="20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“agent” includes, without limitation, a </w:t>
      </w:r>
      <w:r>
        <w:rPr>
          <w:rFonts w:ascii="Times New Roman" w:cs="Times New Roman" w:eastAsia="Times New Roman" w:hAnsi="Times New Roman"/>
          <w:sz w:val="18"/>
          <w:szCs w:val="18"/>
          <w:i w:val="1"/>
          <w:iCs w:val="1"/>
          <w:color w:val="auto"/>
        </w:rPr>
        <w:t>mandataire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“matured obligation” includes, without limitation, any </w:t>
      </w:r>
      <w:r>
        <w:rPr>
          <w:rFonts w:ascii="Times New Roman" w:cs="Times New Roman" w:eastAsia="Times New Roman" w:hAnsi="Times New Roman"/>
          <w:sz w:val="18"/>
          <w:szCs w:val="18"/>
          <w:i w:val="1"/>
          <w:iCs w:val="1"/>
          <w:color w:val="auto"/>
        </w:rPr>
        <w:t>exigible, certaine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liquide obligation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“attachment” includes a </w:t>
      </w:r>
      <w:r>
        <w:rPr>
          <w:rFonts w:ascii="Times New Roman" w:cs="Times New Roman" w:eastAsia="Times New Roman" w:hAnsi="Times New Roman"/>
          <w:sz w:val="18"/>
          <w:szCs w:val="18"/>
          <w:i w:val="1"/>
          <w:iCs w:val="1"/>
          <w:color w:val="auto"/>
        </w:rPr>
        <w:t>saisie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“being unable to pay its debts” includes that person being in a state of cessation of payments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3" w:name="page44"/>
    <w:bookmarkEnd w:id="4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Exchange rate fluctuations</w:t>
      </w:r>
    </w:p>
    <w:p>
      <w:pPr>
        <w:spacing w:after="0" w:line="256" w:lineRule="exact"/>
        <w:rPr>
          <w:sz w:val="20"/>
          <w:szCs w:val="20"/>
          <w:color w:val="auto"/>
        </w:rPr>
      </w:pPr>
    </w:p>
    <w:p>
      <w:pPr>
        <w:jc w:val="both"/>
        <w:ind w:left="1300" w:hanging="644"/>
        <w:spacing w:after="0" w:line="25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applying any monetary limits, thresholds and other exceptions to the representations and warranties, undertakings and Events of Defaults under the Finance Documents, the equivalent to an amount in the Base Currency shall be calculated at the rate for the conversion of the Base Currency into the relevant currency of the non-base currency monetary limit, threshold and other exception which the Company (acting reasonably and in good faith) has used and has notified to the Agent or at the option of the Company at the Agent’s Spot Rate of Exchange, in each case, as at the date of the Group incurring or making the relevant disposal, acquisition, investment, lease, loan, debt or guarantee or taking any other relevant action.</w:t>
      </w:r>
    </w:p>
    <w:p>
      <w:pPr>
        <w:spacing w:after="0" w:line="21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breach of any representation and warranty or undertaking under the Finance Documents shall arise merely as a result of a subsequent change in the Base Currency equivalent, or any other currency specified in respect of, of any relevant amount due to fluctuations in exchange rates.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on demand by the Company provide to the Company details of the then current Agent’s Spot Rate of Exchange.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person who is not a Party has no right under the Contracts (Rights of Third Parties) Act 1999 to enforce or enjoy the benefit of any term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b w:val="1"/>
          <w:bCs w:val="1"/>
          <w:color w:val="auto"/>
        </w:rPr>
        <w:t>Personal Liability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Where any natural person gives a certificate or other document or otherwise gives a representation or statement on behalf of any of the parties to the Finance Documents pursuant to any provision thereof and such certificate or other document, representation or statement proves to be incorrect, the individual shall incur no personal liability in consequence of such certificate, other document, representation or statement being incorrect save where such individual acted fraudulently in giving such certificate, other document, representation or statement (in which case any liability of such individual shall be determined in accordance with applicable law).</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b w:val="1"/>
          <w:bCs w:val="1"/>
          <w:color w:val="auto"/>
        </w:rPr>
        <w:t>Specific interpretation provisions applying to the Agent and Security Agent</w:t>
      </w:r>
    </w:p>
    <w:p>
      <w:pPr>
        <w:spacing w:after="0" w:line="256" w:lineRule="exact"/>
        <w:rPr>
          <w:sz w:val="20"/>
          <w:szCs w:val="20"/>
          <w:color w:val="auto"/>
        </w:rPr>
      </w:pPr>
    </w:p>
    <w:p>
      <w:pPr>
        <w:jc w:val="both"/>
        <w:ind w:left="1300" w:hanging="644"/>
        <w:spacing w:after="0" w:line="255"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Agent or the Security Agent is required to act “reasonably” or “in a reasonable manner” or to come to an opinion or determination that is “reasonable” (or any similar or analogous wording is used), the Agent or the Security Agent shall be deemed to have discharged that obligation if it acts on the instructions of the Majority Lenders, the Super Majority Lenders or all the Lenders (or any other class thereof) (as the context requires), and the Lenders or relevant group of Lenders shall act reasonably in giving those instructions. The Agent and the Security Agent shall be under no obligation to determine the reasonableness of such instructions or whether in giving such instructions the Lenders or relevant group thereof (as the case may be) are acting reasonably or in a reasonable manner.</w:t>
      </w:r>
    </w:p>
    <w:p>
      <w:pPr>
        <w:spacing w:after="0" w:line="21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Security Agent shall not be responsible for any liability occasioned or by any delay or failure on the part of the Lenders or relevant group thereof (as the case may be) to give any such instructions or direction or to form any such opinion.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FACILITIES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The Facilities</w:t>
      </w:r>
    </w:p>
    <w:p>
      <w:pPr>
        <w:spacing w:after="0" w:line="256" w:lineRule="exact"/>
        <w:rPr>
          <w:sz w:val="20"/>
          <w:szCs w:val="20"/>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Facility B Lenders make available to the Borrower a US Dollar term loan facility in an aggregate amount equal to the Total Facility B Commitments.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the Finance Documents to a Finance Party from the Company or the Third Party Security Provider shall be a separate and independent debt.</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otherwise stated in the Finance Documents, separately enforce its rights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Obligors’ Agent</w:t>
      </w:r>
    </w:p>
    <w:p>
      <w:pPr>
        <w:spacing w:after="0" w:line="256" w:lineRule="exact"/>
        <w:rPr>
          <w:sz w:val="20"/>
          <w:szCs w:val="20"/>
          <w:color w:val="auto"/>
        </w:rPr>
      </w:pPr>
    </w:p>
    <w:p>
      <w:pPr>
        <w:jc w:val="both"/>
        <w:ind w:left="13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Security Provider by its execution of this Agreement irrevocably (to the extent permitted by law) appoints the Company to act severally on its behalf as its agent in relation to the Finance Documents and irrevocably (to the extent permitted by law) authorises: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its behalf to supply all information concerning itself contemplated by the Finance Documents to the Finance Parties and to give and receive all notices, instructions and other communications under the Finance Documents and to make such agreements and to effect the relevant amendments, supplements and variations capable of being given, made or effected by the Third Party Security Provider notwithstanding that they may affect the Third Party Security Provider, without further reference to or the consent of the Third Party Security Provider (including, by increasing the obligations of the Third Party Security Provider howsoever fundamentally, whether by increasing the liabilities, guaranteed or otherwise); and</w:t>
      </w:r>
    </w:p>
    <w:p>
      <w:pPr>
        <w:spacing w:after="0" w:line="18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to give any notice, demand or other communication to the Third Party Security Provider pursuant to the Finance Documents to the Company,</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case the Third Party Security Provider shall be bound as though the Third Party Security Provideritself had given the notices and instructions or executed or made the agreements or effected the amendments, supplements or variations, or received the relevant notice, demand or other communication and each Finance Party may rely on any action taken by the Obligors’ Agent on behalf of the Third Party Security Provider.</w:t>
      </w:r>
    </w:p>
    <w:p>
      <w:pPr>
        <w:spacing w:after="0" w:line="180" w:lineRule="exact"/>
        <w:rPr>
          <w:sz w:val="20"/>
          <w:szCs w:val="20"/>
          <w:color w:val="auto"/>
        </w:rPr>
      </w:pPr>
    </w:p>
    <w:p>
      <w:pPr>
        <w:jc w:val="both"/>
        <w:ind w:left="1300" w:hanging="644"/>
        <w:spacing w:after="0" w:line="255"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act, omission, agreement, undertaking, settlement, waiver, amendment, supplement, variation, notice or other communication given or made by the Obligors’ Agent or given to the Obligors’ Agent under any Finance Document on behalf of the Third Party Security Provider or in connection with any Finance Document (whether or not known to the Third Party Security Provider and whether occurring before or after the Third Party Security Provider became the Third Party Security Provider under any Finance Document) shall be binding for all purposes on the Third Party Security Provider as if the Third Party Security Provider had expressly made, given or concurred with it (to the extent permitted by law). In the event of any conflict between any notices or other communications of the Obligors’ Agent and the Third Party Security Provider, those of the Obligors’ Agent shall prevail.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left="1300" w:hanging="644"/>
        <w:spacing w:after="0" w:line="256"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(notwithstanding the fact that the Transaction Security is, intended to guarantee and secure, respectively, all obligations arising under the Finance Documents), any guarantee or Transaction Security does not automatically extend from time to time to any (however fundamental and of whatsoever nature and whether or not more onerous) variation, increase, extension or addition of or to any of the Finance Documents and/or any facility or amount made available under any of the Finance Documents, the Third Party Security Provider expressly confirms that the Obligors’ Agent is authorised to confirm such guarantee and/or Transaction Security on behalf of Third Party Security Provider.</w:t>
      </w:r>
    </w:p>
    <w:p>
      <w:pPr>
        <w:spacing w:after="0" w:line="21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Clause 2.3, the Third Party Security Provider (to the extent necessary under applicable law) shall grant a specific power of attorney (notarized and apostilled) to the Company and comply with any necessary formalities in connection therewith.</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Agent shall be released from any applicable restrictions of self-dealing under any applicable laws of any relevant jurisdiction.</w:t>
      </w:r>
    </w:p>
    <w:p>
      <w:pPr>
        <w:spacing w:after="0" w:line="158"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will apply all amounts borrowed by it under the Facility B Loan towards the Transaction and financing the payment of any fees, costs and expenses reasonably and properly incurred in connection with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xml:space="preserve"> ) in relation to any Utilisation if on or before the Utilisation Date for that Utilisation the Agent has received all of the documents and other evidence listed in Schedule 2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Precedent to Utilisation</w:t>
      </w:r>
      <w:r>
        <w:rPr>
          <w:rFonts w:ascii="Times New Roman" w:cs="Times New Roman" w:eastAsia="Times New Roman" w:hAnsi="Times New Roman"/>
          <w:sz w:val="18"/>
          <w:szCs w:val="18"/>
          <w:color w:val="auto"/>
        </w:rPr>
        <w:t>) in form and substance satisfactory to the Agent, acting on the instructions of the Majority Lenders (themselves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reasonably) or receipt of such documents and evidence has been waived by the Majority Lenders. The Agent shall notify the Company and the Lenders promptly upon being so satisfied.</w:t>
      </w:r>
    </w:p>
    <w:p>
      <w:pPr>
        <w:spacing w:after="0" w:line="21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54"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Subject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in relation to a Utilisation, if on the proposed Utilisation Date in the case of any Utilisation:</w:t>
      </w:r>
    </w:p>
    <w:p>
      <w:pPr>
        <w:spacing w:after="0" w:line="160"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result from the proposed Utilisation;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true in all material respects (or, to the extent a materiality test applies, all respects).</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b w:val="1"/>
          <w:bCs w:val="1"/>
          <w:color w:val="auto"/>
        </w:rPr>
        <w:t>Maxium number of Utilisations</w:t>
      </w:r>
    </w:p>
    <w:p>
      <w:pPr>
        <w:spacing w:after="0" w:line="256"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one Loan would be outstanding.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request that the Loan be divided.</w:t>
      </w:r>
    </w:p>
    <w:p>
      <w:pPr>
        <w:spacing w:after="0" w:line="221"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UTILISATION – LOANS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 Borrower (or the Company on its behalf) may utilise a Facility by delivery to the Agent of a duly completed Utilisation Request not later than 9 a.m. (London time) on the date falling 3 Business Days before the proposed Utilisation Date (or such shorter period as may be agreed between the Company and the Agent (acting on the instructions of all of the Lenders with a Commitment under the relevant Facility)).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 for Loans</w:t>
      </w:r>
    </w:p>
    <w:p>
      <w:pPr>
        <w:spacing w:after="0" w:line="229"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Loan is irrevocable and will not be regarded as having been duly completed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identifies the Facility to be utilised;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identifies the relevant Borrower;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applicable to that Facility; and</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Utilisation may be requested in a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256"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US Dollars.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 proposed Utilisation of Facility B must be in a minimum amount of $40,000,000.</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7"/>
          <w:szCs w:val="17"/>
          <w:b w:val="1"/>
          <w:bCs w:val="1"/>
          <w:color w:val="auto"/>
        </w:rPr>
        <w:t>Lenders’ participation</w:t>
      </w:r>
    </w:p>
    <w:p>
      <w:pPr>
        <w:spacing w:after="0" w:line="256"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conditions set out in this Agreement have been met, each Lender shall make its participation in each Loan available on the Utilisation Date through its Facility Office in accordance with Clause 29.1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will be equal to the proportion borne by its Available Commitment to the Available Facility in each case in relation to the relevant Facility immediately prior to making the Loan.</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each Lender of the amount of each Loan and the amount of its participation in that Loan by 10 a.m. (San Francisco) on the date falling 3 Business Days prior to the proposed Utilisation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Commitment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Facility B Commitments which, at that time, are unutilised shall be immediately cancelled at the end of the Availability Period for Facility B (or if earlier, on the Closing Date but following the making of all requested Utilisations of Facility B on such date).</w:t>
      </w:r>
    </w:p>
    <w:p>
      <w:pPr>
        <w:spacing w:after="0" w:line="158"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Repayment of Facility B Loans</w:t>
      </w:r>
    </w:p>
    <w:p>
      <w:pPr>
        <w:spacing w:after="0" w:line="256"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aggregate Facility B Loans made to it (including the applicable Call Price) in full on the Termination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a Facility B Loan which is repaid.</w:t>
      </w:r>
    </w:p>
    <w:p>
      <w:pPr>
        <w:spacing w:after="0" w:line="221"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ILLEGALITY, VOLUNTARY PREPAYMENT AND CANCELLATION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at any time after a Lender becomes party to this Agreement it becomes unlawful in any applicable jurisdiction for such Lender to perform any of its obligations as contemplated by this Agreement or to fund or maintain its participation in any Utilisation, or it becomes unlawful for any direct Holding Company of a Lender for that Lender to do so:</w:t>
      </w:r>
    </w:p>
    <w:p>
      <w:pPr>
        <w:spacing w:after="0" w:line="176"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Company, the Commitment of that Lender will be immediately cancelled to the extent of the illegality; and</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Lender’s participation has not been transferred pursuant to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the Borrower shall promptly repay that Lender’s participation in the Utilisations made to the Borrower after the Agent has notified the Company or, if earlier, by such date specified by the Lender in the notice delivered to the Agent (being no earlier than the last day of any applicable grace period permitted by law, taking into account any applicable grace period).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not without the prior written consent of the Majority Lenders, cancel the whole (but not part) of an Available Facility.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Voluntary prepayment of Facility B Loans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or the Company gives the Agent not less than 3 Business Days’ (or such shorter period as the Majority Lenders may agree) prior written notice, prepay the whole or any part of the Facility B Loans (but, if in part, being an amount that reduces the amount of that Facility B Loan by a minimum amount of $5,000,000 and multiples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prepayments made pursuant to this Clause 7.3 shall for the avoidance of dobut be made together with the applicable Call Price.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7"/>
          <w:szCs w:val="17"/>
          <w:b w:val="1"/>
          <w:bCs w:val="1"/>
          <w:color w:val="auto"/>
        </w:rPr>
        <w:t>Right of cancellation and repayment in relation to a single Lender</w:t>
      </w:r>
    </w:p>
    <w:p>
      <w:pPr>
        <w:spacing w:after="0" w:line="229"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5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the Company is required to be increased under Clause 12.2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the Company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may, whilst the circumstance giving rise to the requirement for that increase or indemnification continues, give the Agent notice of cancellation of the Commitment(s) of that Lender and its intention to procure the repayment of that Lender’s participation in the Utilisation.</w:t>
      </w:r>
    </w:p>
    <w:p>
      <w:pPr>
        <w:spacing w:after="0" w:line="176" w:lineRule="exact"/>
        <w:rPr>
          <w:sz w:val="20"/>
          <w:szCs w:val="20"/>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notice referred to in paragraph (a) above in relation to a Lender, the Commitment(s) of that Lender shall immediately be reduced to zero.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Right of cancellation in relation to a Defaulting Lender</w:t>
      </w:r>
    </w:p>
    <w:p>
      <w:pPr>
        <w:spacing w:after="0" w:line="256" w:lineRule="exact"/>
        <w:rPr>
          <w:sz w:val="20"/>
          <w:szCs w:val="20"/>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becomes a Defaulting Lender, the Company may, at any time whilst the Lender continues to be a Defaulting Lender, give the Agent five Business Days’ notice of cancellation of each Available Commitment of that Lender.</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notice referred to in paragraph (a) above becoming effective, each Available Commitment of the Defaulting Lender shall immediately be reduced to zero.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as soon as practicable after receipt of a notice referred to in paragraph (a) above, notify all the Lenders.</w:t>
      </w:r>
    </w:p>
    <w:p>
      <w:pPr>
        <w:spacing w:after="0" w:line="221"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MANDATORY PREPAYMENT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Exit, Delisting or Trading Suspension</w:t>
      </w:r>
    </w:p>
    <w:p>
      <w:pPr>
        <w:spacing w:after="0" w:line="25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Listing, Delisting, or a Trading Suspension or a Sale occurs: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immediately notify the Agent in writing upon becoming aware of that event and the Agent shall promptly notify each Lender accordingly;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be entitled, by notice in writing to the Company given at any time on or before the date falling 30 Business Days after the date that the notice was required to be given by the Company to the Agent pursuant to paragraph (i) above, to require cancellation of its Commitments and prepayment of its participation in any outstanding Utilisations together with the Call Price and any interest accrued thereon and all other amounts accrued to such Lender under the Finance Documents (which prepayment and cancellation must be made within 3 Business Days of the notice given by that Lender to the Company).</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notified the Agent in accordance with the provisions of sub-paragraph (ii) above within 30 Business Days of being notified by the Agent under sub-paragraph (i) above, that Lender shall not be able to cancel its Commitments or require repayment of its share of the Utilisations and the prepayment of any other amount owing to it under the Finance Documents.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Disposal, Further Shares Acquisition and Insurance Proceeds</w:t>
      </w:r>
    </w:p>
    <w:p>
      <w:pPr>
        <w:spacing w:after="0" w:line="256"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221"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sale, lease, licence, transfer, loan or other disposal of all or any part of any asset, undertaking or business (whether by a voluntary or involuntary single transaction or series of transactions) of the Company or member of the Restricted Group.</w:t>
      </w:r>
    </w:p>
    <w:p>
      <w:pPr>
        <w:spacing w:after="0" w:line="154" w:lineRule="exact"/>
        <w:rPr>
          <w:rFonts w:ascii="Times New Roman" w:cs="Times New Roman" w:eastAsia="Times New Roman" w:hAnsi="Times New Roman"/>
          <w:sz w:val="18"/>
          <w:szCs w:val="18"/>
          <w:color w:val="auto"/>
        </w:rPr>
      </w:pPr>
    </w:p>
    <w:p>
      <w:pPr>
        <w:ind w:left="13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 Proceeds</w:t>
      </w:r>
      <w:r>
        <w:rPr>
          <w:rFonts w:ascii="Times New Roman" w:cs="Times New Roman" w:eastAsia="Times New Roman" w:hAnsi="Times New Roman"/>
          <w:sz w:val="18"/>
          <w:szCs w:val="18"/>
          <w:color w:val="auto"/>
        </w:rPr>
        <w:t>” means the Net Cash Proceeds received by the Company in relation to any Disposal (or series of related Disposals) except for Excluded Disposal Proceeds.</w:t>
      </w:r>
    </w:p>
    <w:p>
      <w:pPr>
        <w:spacing w:after="0" w:line="15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Disposal Proceeds</w:t>
      </w:r>
      <w:r>
        <w:rPr>
          <w:rFonts w:ascii="Times New Roman" w:cs="Times New Roman" w:eastAsia="Times New Roman" w:hAnsi="Times New Roman"/>
          <w:sz w:val="18"/>
          <w:szCs w:val="18"/>
          <w:color w:val="auto"/>
        </w:rPr>
        <w:t>” means the Net Cash Proceeds received by Company of any Disposal:</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falling within paragraphs (c), (d), (e) and (g) (to the extent that the consent given by the Majority Lenders does not require the prepayment of the relevant Net Cash Proceeds) of the definition of Permitted Disposal to the extent such Net Cash Proceeds do not need to be applied in any repayment, prepayment or acquisition of any Permitted Financial Indebtedness which ranks pari passu with Facility B;</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an individual Disposal where the Net Cash Proceeds from such Disposal are in an amount less than $250,000 (or its equivalent in other currencies);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when aggregated with the Net Cash Proceeds of other Disposals made in the same Financial Year of the Company, do not exceed a maximum aggregate amount of $500,000 (or its equivalent in other currencies) provided that the Net Cash Proceeds of a Disposal under sub-paragraph (i) above shall be disregarded for the purposes of calculating the amount of the Net Cash Proceeds under this sub-paragraph,</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provided that no Net Cash Proceeds received from a disposal under paragraph (k) of Permitted Disposal shall be included as Excluded Disposal Proceeds.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Insurance Proceeds</w:t>
      </w:r>
      <w:r>
        <w:rPr>
          <w:rFonts w:ascii="Times New Roman" w:cs="Times New Roman" w:eastAsia="Times New Roman" w:hAnsi="Times New Roman"/>
          <w:sz w:val="18"/>
          <w:szCs w:val="18"/>
          <w:color w:val="auto"/>
        </w:rPr>
        <w:t>” means the Net Cash Proceeds received by the Company of any insurance claim:</w:t>
      </w:r>
    </w:p>
    <w:p>
      <w:pPr>
        <w:spacing w:after="0" w:line="229" w:lineRule="exact"/>
        <w:rPr>
          <w:sz w:val="20"/>
          <w:szCs w:val="20"/>
          <w:color w:val="auto"/>
        </w:rPr>
      </w:pPr>
    </w:p>
    <w:p>
      <w:pPr>
        <w:ind w:left="1960" w:hanging="656"/>
        <w:spacing w:after="0" w:line="282" w:lineRule="auto"/>
        <w:tabs>
          <w:tab w:leader="none" w:pos="1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received in respect of third party liability, public liability, directors’ liability, business interruption, loss of earnings or similar claims;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loss or destruction of assets and where the Net Cash Proceeds of such insurance claim are, within 6 Months of receipt, applied or committed to be applied by the board of the Company (and if so committed to be applied, are actually applied within 12 Months of receipt) in the replacement, reinstatement and/or repair of the relevant asset or otherwise in amelioration of the loss in respect of which the relevant insurance claim was made;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left="1304" w:hanging="656"/>
        <w:spacing w:after="0" w:line="282" w:lineRule="auto"/>
        <w:tabs>
          <w:tab w:leader="none" w:pos="130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relates to an individual claim the aggregate proceeds of which are less than $250,000 (or its equivalent in other currencies); or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when aggregated with the Net Cash Proceeds of other insurance claims made in the same Financial Year of the Company, do not exceed a maximum aggregate amount of $500,000 (or its equivalent in other currencies) provided that the Net Cash Proceeds of an insurance claim under sub-paragraph (i) above shall be disregarded for the purposes of calculating the amount of the Net Cash Proceeds under this sub-paragraph.</w:t>
      </w:r>
    </w:p>
    <w:p>
      <w:pPr>
        <w:spacing w:after="0" w:line="176"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Further Shares Acquisition Proceeds</w:t>
      </w:r>
      <w:r>
        <w:rPr>
          <w:rFonts w:ascii="Times New Roman" w:cs="Times New Roman" w:eastAsia="Times New Roman" w:hAnsi="Times New Roman"/>
          <w:sz w:val="18"/>
          <w:szCs w:val="18"/>
          <w:color w:val="auto"/>
        </w:rPr>
        <w:t>” means the Net Cash Proceeds received by the Company (or such other person or entity as relevant) from or in connection with the Further Shares Acquisition.</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Proceeds</w:t>
      </w:r>
      <w:r>
        <w:rPr>
          <w:rFonts w:ascii="Times New Roman" w:cs="Times New Roman" w:eastAsia="Times New Roman" w:hAnsi="Times New Roman"/>
          <w:sz w:val="18"/>
          <w:szCs w:val="18"/>
          <w:color w:val="auto"/>
        </w:rPr>
        <w:t>” means the Net Cash Proceeds received by the Company of any insurance claim (or series of related insurance claims) received in respect of the loss or destruction of assets of the Restricted Group except for Excluded Insurance Proceeds.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 the cash proceeds, in each case, consequent upon a Disposal, Further Shares Acquisition or insurance claim, in each case, after deducting:</w:t>
      </w:r>
    </w:p>
    <w:p>
      <w:pPr>
        <w:spacing w:after="0" w:line="159" w:lineRule="exact"/>
        <w:rPr>
          <w:sz w:val="20"/>
          <w:szCs w:val="20"/>
          <w:color w:val="auto"/>
        </w:rPr>
      </w:pPr>
    </w:p>
    <w:p>
      <w:pPr>
        <w:jc w:val="both"/>
        <w:ind w:left="1304" w:hanging="656"/>
        <w:spacing w:after="0" w:line="261" w:lineRule="auto"/>
        <w:tabs>
          <w:tab w:leader="none" w:pos="13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incurred and required to be paid or reserved against (as reasonably determined by the Company on the basis of their existing rates and taking account of any available credit, deduction or allowance) by the seller or claimant in relation to the Disposal or insurance claim (including without limitation any Taxes incurred as a result of the transfer of any cash consideration intra-Group);</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fees, costs and expenses on arm’s length terms in respect of the relevant transaction (including, for the avoidance of doubt, reasonable legal fees, reasonable agents’ commission, reasonable auditors’ fees, reasonable out-of-pocket reorganisation costs (including redundancy, closure and other restructuring costs, both preparatory to, and in consequence of, the relevant Disposal or insurance claim));</w:t>
      </w:r>
    </w:p>
    <w:p>
      <w:pPr>
        <w:spacing w:after="0" w:line="206"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required to be applied in repayment or prepayment of any Financial Indebtedness (other than under the Finance Documents) which is secured over the asset subject to the Disposal (provided that such Financial Indebtedness was not incurred for the purpose of, or in contemplation of, that Disposal); and</w:t>
      </w:r>
    </w:p>
    <w:p>
      <w:pPr>
        <w:spacing w:after="0" w:line="202"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amounts retained to cover indemnities, contingent and other liabilities in connection with the Disposal or insurance claim as evidenced in reasonable detail to the Agent on request but only for so long as such claim may be brought after which time such amount shall not be deducted from Net Cash Proceeds.</w:t>
      </w:r>
    </w:p>
    <w:p>
      <w:pPr>
        <w:spacing w:after="0" w:line="202"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Borrower shall use reasonable endeavours and exercise all rights, powers or discretions available to them including without limitation pursuant to any rights directly or indirectly available to them under any constitutional documents, shareholders’ agreement, investment agreement or other similar contractual arrangements, to procure that any (x) proceeds of a Disposal or (y) Net Cash Proceeds of an insurance claim in respect of the loss or destruction of assets that are received by a member of the Restricted Group are upstreamed to the Borrower and treated as Disposal Proceeds or Insurance Proceeds in accordance with this Clause 8.2, it being understood that if the relevant member of the Restricted Group is prevented from upstreaming such proceeds to the Borrower by reason of applicable law, regulation or pursuant to a restriction in any contractual document relating to Permitted Financial Indebtedness, neither the Company, the Borrower nor the relevant member of the Restricted Group shall be required to seek any third party consents or authorisations for the purposes of procuring such proceeds to be upstreamed to the Borrower.</w:t>
      </w:r>
    </w:p>
    <w:p>
      <w:pPr>
        <w:spacing w:after="0" w:line="200" w:lineRule="exact"/>
        <w:rPr>
          <w:sz w:val="20"/>
          <w:szCs w:val="20"/>
          <w:color w:val="auto"/>
        </w:rPr>
      </w:pPr>
    </w:p>
    <w:p>
      <w:pPr>
        <w:spacing w:after="0" w:line="23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1" w:name="page52"/>
    <w:bookmarkEnd w:id="51"/>
    <w:p>
      <w:pPr>
        <w:ind w:left="130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an amount equal to the following amounts is applied in prepayment of the Facilities together with any applicable Call Price at the times and in the order of application contemplated by Clause 8.5 (</w:t>
      </w:r>
      <w:r>
        <w:rPr>
          <w:rFonts w:ascii="Times New Roman" w:cs="Times New Roman" w:eastAsia="Times New Roman" w:hAnsi="Times New Roman"/>
          <w:sz w:val="18"/>
          <w:szCs w:val="18"/>
          <w:i w:val="1"/>
          <w:iCs w:val="1"/>
          <w:color w:val="auto"/>
        </w:rPr>
        <w:t>Application of prepayments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Disposal Proceeds;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Insurance Proceeds;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Further Shares Acquisition Proceeds.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Clause 8.2 shall, unless the Company makes an election under paragraph (e) below, be made promptly (and by no later than (10) Business Days) after the relevant circumstance or event giving rise to such prepayment.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that any prepayment under this Clause 8.2 shall be applied in prepayment of a Loan on the last day of the Quarter Period relating to that Loan provided that:</w:t>
      </w:r>
    </w:p>
    <w:p>
      <w:pPr>
        <w:spacing w:after="0" w:line="188"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such an election then a proportion of the Loan equal to the amount of the relevant prepayment shall be due and payable on the last day of its next Quarter Period;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election may be made at any time while an Event of Default has occurred and is continuing, and if the Company has so made an election under this paragraph (e) but an Event of Default has occurred and is continuing, that election shall no longer apply and a proportion of the Loan in respect of which the election was made equal to the amount of the relevant prepayment shall be immediately due and payable (if the Majority Lenders so require in writing).</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Redeemable Preferred Shares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Company of (x) any dividends or other distributions received in cash from Lotus US Financing S.à r.l. attributable to the Redeemable Preferred Shares or (y) any cash proceeds in relation to a Redeemable Preferred Shares Redemption Event (the “</w:t>
      </w:r>
      <w:r>
        <w:rPr>
          <w:rFonts w:ascii="Times New Roman" w:cs="Times New Roman" w:eastAsia="Times New Roman" w:hAnsi="Times New Roman"/>
          <w:sz w:val="18"/>
          <w:szCs w:val="18"/>
          <w:b w:val="1"/>
          <w:bCs w:val="1"/>
          <w:color w:val="auto"/>
        </w:rPr>
        <w:t>Received Amounts</w:t>
      </w:r>
      <w:r>
        <w:rPr>
          <w:rFonts w:ascii="Times New Roman" w:cs="Times New Roman" w:eastAsia="Times New Roman" w:hAnsi="Times New Roman"/>
          <w:sz w:val="18"/>
          <w:szCs w:val="18"/>
          <w:color w:val="auto"/>
        </w:rPr>
        <w:t>”), the Company shall:</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Lenders upon its receipt of such Received Amounts; and</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3 Business Days of its receipt of such Received Amounts, apply such Received Amounts in prepayment of the Facility B Loan together with any applicable Call Price.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reasonable endeavours and exercise all rights, powers or discretions available to them including without limitation pursuant to any rights directly or indirectly available to them under any constitutional documents, shareholders’ agreement, investment agreement or other similar contractual arrangements, to procure that any Received Amounts are promptly paid to the Company and treated as Received Amounts in accordance with this Clause 8.3, provided further that the Company shall use its reasonable endeavours to provide that such Received Amounts are paid to it in a manner that shall minimise any distribution or leakage to any other person.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Cash Collateral Payment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any date on which an Event of Default is continuing, the Agent (acting on the instructions of the Majority Lenders (themselves acting in their sole discretion)) shall be entitled to (and is irrevocably authorised by the Company to), and without further consent and/or notice to the Company, to instruct and require the Security Agent, to apply and/or set-off any and all amounts held by it in the Collateral Account pursuant to the terms of this Agreement in prepayment and/or repayment of any outstanding amounts under the Finance Documents including the Facility B Loan together with all accrued but unpaid interest, fees (including legal fees), the Call Price and any other amounts outstanding and/or accrued under the Finance Documents at the times and in the order of application contemplated by Clause 8.5 (</w:t>
      </w:r>
      <w:r>
        <w:rPr>
          <w:rFonts w:ascii="Times New Roman" w:cs="Times New Roman" w:eastAsia="Times New Roman" w:hAnsi="Times New Roman"/>
          <w:sz w:val="18"/>
          <w:szCs w:val="18"/>
          <w:i w:val="1"/>
          <w:iCs w:val="1"/>
          <w:color w:val="auto"/>
        </w:rPr>
        <w:t>Application of prepayments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b w:val="1"/>
          <w:bCs w:val="1"/>
          <w:color w:val="auto"/>
        </w:rPr>
        <w:t>Application of prepayments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shall use all reasonable endeavours to ensure that any transaction giving rise to a prepayment obligation or obligation to provide cash cover is structured in such a way that it will not be unlawful for the Company to move the relevant proceeds received between members of the Group to enable a mandatory prepayment to be lawfully made, cash cover lawfully provided and the proceeds lawfully applied as provided under this Clause 8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 and/or to minimise the costs and Taxes of making such mandatory prepayment (including using all reasonable endeavours to fund such payment from surplus cash in the Group that is not so trapped provided doing so would not be materially prejudicial to overall Group liquidity or the availability of such cash to members of the Group requiring funds).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Right to Refuse Payment</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(a “</w:t>
      </w:r>
      <w:r>
        <w:rPr>
          <w:rFonts w:ascii="Times New Roman" w:cs="Times New Roman" w:eastAsia="Times New Roman" w:hAnsi="Times New Roman"/>
          <w:sz w:val="18"/>
          <w:szCs w:val="18"/>
          <w:b w:val="1"/>
          <w:bCs w:val="1"/>
          <w:color w:val="auto"/>
        </w:rPr>
        <w:t>Non-Accepting Lender</w:t>
      </w:r>
      <w:r>
        <w:rPr>
          <w:rFonts w:ascii="Times New Roman" w:cs="Times New Roman" w:eastAsia="Times New Roman" w:hAnsi="Times New Roman"/>
          <w:sz w:val="18"/>
          <w:szCs w:val="18"/>
          <w:color w:val="auto"/>
        </w:rPr>
        <w:t>”) gives notice to the Agent (with a copy to the Company) by 11.00 a.m. on the third Business Day prior to the date on which such payment, repayment and/or prepayment pursuant to this Clause 8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 is to be made (or such shorter period as a Lender may agree), that Lender will have a right to waive its right (provided that a Non-Accepting Lender shall act reasonably in exercising such right) to receive such payment, repayment and/or prepayment (as applicable) pursuant to this Clause 8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 to the extent specified in its notice (“</w:t>
      </w:r>
      <w:r>
        <w:rPr>
          <w:rFonts w:ascii="Times New Roman" w:cs="Times New Roman" w:eastAsia="Times New Roman" w:hAnsi="Times New Roman"/>
          <w:sz w:val="18"/>
          <w:szCs w:val="18"/>
          <w:b w:val="1"/>
          <w:bCs w:val="1"/>
          <w:color w:val="auto"/>
        </w:rPr>
        <w:t>Payment Waiver Notice</w:t>
      </w:r>
      <w:r>
        <w:rPr>
          <w:rFonts w:ascii="Times New Roman" w:cs="Times New Roman" w:eastAsia="Times New Roman" w:hAnsi="Times New Roman"/>
          <w:sz w:val="18"/>
          <w:szCs w:val="18"/>
          <w:color w:val="auto"/>
        </w:rPr>
        <w:t>”). A Non-Accepting Lender shall provide in its Payment Waiver Notice such reasons (together with any supplementary evidence if available) for waiving its right to receive such payment, repayment and/or prepayment (as applicable) pursuant to this Clause 8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that if any Lender does not accept a payment, repayment and/or prepayment of any amounts outstanding under the Finance Documents pursuant to this Clause 8.6, it shall not for the avoidance of doubt be a waiver of such Lender’s right to repayment in full of all amounts outstanding to it under and pursuant to the Finance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AND CALL PRICE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Notices of Cancellation or Prepayment</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Any notice of cancellation, prepayment, authorisation or other election given by any Party under Clause 7 (</w:t>
      </w:r>
      <w:r>
        <w:rPr>
          <w:rFonts w:ascii="Times New Roman" w:cs="Times New Roman" w:eastAsia="Times New Roman" w:hAnsi="Times New Roman"/>
          <w:sz w:val="18"/>
          <w:szCs w:val="18"/>
          <w:i w:val="1"/>
          <w:iCs w:val="1"/>
          <w:color w:val="auto"/>
        </w:rPr>
        <w:t>Illegality, Voluntary Prepayment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shall (subject to the terms of that Clause), unless a contrary indication appears in this Agreement, specify the date or dates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relevant cancellation or prepayment is to be made and the amount of that cancellation or prepayment.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prepayment, repayment, redemption or repurchase under this Agreement shall be made together with the Call Price.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No reborrowing of Facility 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may not reborrow any part of Facility B which is prepaid.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Borrower shall not repay or prepay all or any part of the Utilisations or cancel all or any part of the Commitments except at the times and in the manner expressly provided for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 of the Total Commitments cancelled under this Agreement may be subsequently reinstated.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227"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color w:val="auto"/>
        </w:rPr>
        <w:t>If the Agent receives a notice under Clause 7 (</w:t>
      </w:r>
      <w:r>
        <w:rPr>
          <w:rFonts w:ascii="Times New Roman" w:cs="Times New Roman" w:eastAsia="Times New Roman" w:hAnsi="Times New Roman"/>
          <w:sz w:val="18"/>
          <w:szCs w:val="18"/>
          <w:i w:val="1"/>
          <w:iCs w:val="1"/>
          <w:color w:val="auto"/>
        </w:rPr>
        <w:t>Illegality, Voluntary Prepayment and Cancellation</w:t>
      </w:r>
      <w:r>
        <w:rPr>
          <w:rFonts w:ascii="Times New Roman" w:cs="Times New Roman" w:eastAsia="Times New Roman" w:hAnsi="Times New Roman"/>
          <w:sz w:val="18"/>
          <w:szCs w:val="18"/>
          <w:color w:val="auto"/>
        </w:rPr>
        <w:t>), it shall promptly forward a copy of that notice or election to either the Company or the affected Lender, as appropriate.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b w:val="1"/>
          <w:bCs w:val="1"/>
          <w:color w:val="auto"/>
        </w:rPr>
        <w:t>Effect of Repayment and Prepayment on Commitments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If all or part of a participation of a Lender in a Facility B Loan is repaid or prepaid and is not available for redrawing, the Lender’s Commitment shall be reduced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cancelled by a </w:t>
      </w:r>
      <w:r>
        <w:rPr>
          <w:rFonts w:ascii="Times New Roman" w:cs="Times New Roman" w:eastAsia="Times New Roman" w:hAnsi="Times New Roman"/>
          <w:sz w:val="18"/>
          <w:szCs w:val="18"/>
          <w:i w:val="1"/>
          <w:iCs w:val="1"/>
          <w:color w:val="auto"/>
        </w:rPr>
        <w:t>pro-rated</w:t>
      </w:r>
      <w:r>
        <w:rPr>
          <w:rFonts w:ascii="Times New Roman" w:cs="Times New Roman" w:eastAsia="Times New Roman" w:hAnsi="Times New Roman"/>
          <w:sz w:val="18"/>
          <w:szCs w:val="18"/>
          <w:color w:val="auto"/>
        </w:rPr>
        <w:t xml:space="preserve"> amount equal to the amount repaid or prepaid.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b w:val="1"/>
          <w:bCs w:val="1"/>
          <w:color w:val="auto"/>
        </w:rPr>
        <w:t>Call Price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Borrower shall pay to the Lenders at the time of the cancellation and/or prepayment and/or repayment and/or acceleration in full or in part (as applicable) (each a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in relation to any amount of the Facility B Loan so cancelled, repaid, prepaid or accelerated, as applicable (any such amount being, the “</w:t>
      </w:r>
      <w:r>
        <w:rPr>
          <w:rFonts w:ascii="Times New Roman" w:cs="Times New Roman" w:eastAsia="Times New Roman" w:hAnsi="Times New Roman"/>
          <w:sz w:val="18"/>
          <w:szCs w:val="18"/>
          <w:b w:val="1"/>
          <w:bCs w:val="1"/>
          <w:color w:val="auto"/>
        </w:rPr>
        <w:t>Relevant Repayment Amount</w:t>
      </w:r>
      <w:r>
        <w:rPr>
          <w:rFonts w:ascii="Times New Roman" w:cs="Times New Roman" w:eastAsia="Times New Roman" w:hAnsi="Times New Roman"/>
          <w:sz w:val="18"/>
          <w:szCs w:val="18"/>
          <w:color w:val="auto"/>
        </w:rPr>
        <w:t>”), on the date of such Repayment Event, an amount equal to the amount that is:</w:t>
      </w:r>
    </w:p>
    <w:p>
      <w:pPr>
        <w:spacing w:after="0" w:line="180" w:lineRule="exact"/>
        <w:rPr>
          <w:sz w:val="20"/>
          <w:szCs w:val="20"/>
          <w:color w:val="auto"/>
        </w:rPr>
      </w:pPr>
    </w:p>
    <w:p>
      <w:pPr>
        <w:ind w:left="1300" w:hanging="644"/>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cent. of the Relevant Repayment Amount if the relevant Repayment Event is during the period from (and including) the date of this Agreement to (but excluding) the date falling 6 Months after the date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cent. of the Relevant Repayment Amount if the relevant Repayment Event is during the period from (and including) the date falling 6 Months after the date of this Agreement to (but excluding) the date falling 9 Months after the date of this Agreement;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cent. of the Relevant Repayment Amount if the relevant Repayment Event is during the period from (and including) the date falling 9 Months after the date of this Agreement to (and including) the Termination Date,</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amount being the “</w:t>
      </w:r>
      <w:r>
        <w:rPr>
          <w:rFonts w:ascii="Times New Roman" w:cs="Times New Roman" w:eastAsia="Times New Roman" w:hAnsi="Times New Roman"/>
          <w:sz w:val="18"/>
          <w:szCs w:val="18"/>
          <w:b w:val="1"/>
          <w:bCs w:val="1"/>
          <w:color w:val="auto"/>
        </w:rPr>
        <w:t>Call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INTEREST</w:t>
      </w:r>
    </w:p>
    <w:p>
      <w:pPr>
        <w:spacing w:after="0" w:line="25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a period of one (1) Month.</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interest shall accrue on the Outstanding Facility Amount and any Unpaid Sums (and following the occurrence of a Declared Default, the Call Price) at a rate of two per cent. per annum. Any default interest accruing under this Clause 10 shall, at the election of the Majority Lenders, be immediately payable by the Borrower in cash on demand by the Majority Lenders or be capitalised and added to the outstanding principal amount of the Outstanding Facility Amount and subsequently treated for all purposes of this Agreement as part of the principal amount of such Outstanding Facility Amount.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(if unpaid) will be compounded at the end of each Interest Period but will remain immediately due and payable.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Agent and Security Agent fees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pay (or procure there is paid) to the Agent and the Security Agent (in each case for its own account) a fee in the amount and at the times agreed in a Fee Letter.</w:t>
      </w:r>
    </w:p>
    <w:p>
      <w:pPr>
        <w:spacing w:after="0" w:line="158"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Tax Definitions</w:t>
      </w:r>
    </w:p>
    <w:p>
      <w:pPr>
        <w:spacing w:after="0" w:line="256"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12 (Taxes):</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Party</w:t>
      </w:r>
      <w:r>
        <w:rPr>
          <w:rFonts w:ascii="Times New Roman" w:cs="Times New Roman" w:eastAsia="Times New Roman" w:hAnsi="Times New Roman"/>
          <w:sz w:val="18"/>
          <w:szCs w:val="18"/>
          <w:color w:val="auto"/>
        </w:rPr>
        <w:t>” means a Finance Party which is or will be subject to any liability or required to make any payment for or on account of Tax in relation to a sum received or receivable (or any sum deemed for the purpose of Tax to be received or receivable) under a Finance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the Company to a Finance Party under Clause 12.2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or a payment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3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this Clause 12 a reference to “determines” or “determined” means a determination made acting reasonably and in good faith.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Tax Gross Up</w:t>
      </w:r>
    </w:p>
    <w:p>
      <w:pPr>
        <w:spacing w:after="0" w:line="256" w:lineRule="exact"/>
        <w:rPr>
          <w:sz w:val="20"/>
          <w:szCs w:val="20"/>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shall be made by the Company and the Third Party Security Provider under each Finance Document without any Tax Deduction, unless a Tax Deduction is required by law.</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upon becoming aware that the Company or the Third Party Security Provider must make a Tax Deduction (or that there is a change in the rate or the basis of any Tax Deduction) notify the Agent accordingly. Similarly, a Lender shall promptly notify the Agent on becoming so aware in respect of a payment payable to that Lender. If the Agent receives such notification from a Lender it shall notify the Company and the Third Party Security Provider.</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the Company or the Third Party Security Provider, the amount of the payment due from the Company or the Third Party Security Provider (as applicable) shall be increased to an amount which (after making any Tax Deduction), leaves an amount equal to the payment which would have been due if no Tax Deduction had been required.</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Third Party Security Provider is required by law to make a Tax Deduction it shall make the Tax Deduction and any payment required in connection with that Tax Deduction within the time allowed and in the minimum amount required by law.</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Company or the Third Party Security Provider (as applicable) making that Tax Deduction shall deliver to the Agent for the relevant Finance Party evidence reasonably satisfactory to that Finance Party that the Tax Deduction has been made or (as applicable) any appropriate payment paid to the relevant taxing authority.</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by the Company or the Third Party Security Provider shall not be increased under paragraph (c) above by reason of a Tax Deduction on account of Tax imposed by Luxembourg if, on the date on which the payment falls due the relevant Lender is an individual resident in Luxembourg for tax purposes and such Tax Deduction is required by virtue of the Luxembourg law of 23 December 2005 introducing a final withholding tax on certain interest income earned by Luxembourg resident beneficial owners (the “</w:t>
      </w:r>
      <w:r>
        <w:rPr>
          <w:rFonts w:ascii="Times New Roman" w:cs="Times New Roman" w:eastAsia="Times New Roman" w:hAnsi="Times New Roman"/>
          <w:sz w:val="18"/>
          <w:szCs w:val="18"/>
          <w:b w:val="1"/>
          <w:bCs w:val="1"/>
          <w:color w:val="auto"/>
        </w:rPr>
        <w:t>Relibi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252"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jurisdiction in which that Finance Party is incorporated or, if different, the jurisdiction (or jurisdictions) in which that Finance Party is treated as resident for tax purposes; or</w:t>
      </w:r>
    </w:p>
    <w:p>
      <w:pPr>
        <w:spacing w:after="0" w:line="188"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jurisdiction in which that Finance Party’s Facility Office or other permanent establishment is located in respect of amounts received or receivable in that jurisdiction (or in respect of amounts attributable or allocable to the permanent establishment), if that Tax is imposed on or calculated by reference to the net income received or receivable (but not any sum deemed to be received or receivable) by that Finance Party;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22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600" w:right="260" w:hanging="648"/>
        <w:spacing w:after="0" w:line="282" w:lineRule="auto"/>
        <w:tabs>
          <w:tab w:leader="none" w:pos="26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is suffered or incurred in respect of any Bank Levy at the rate in force at the date of this Agreement; or</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FATCA Deduction required to be made by a Party.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promptly notify the Agent of the event which will give, or has given, rise to the claim, following which the Agent will notify the Company.</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the Company under this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notify the Agent.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Tax Credits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or the Third Party Security Provider makes a Tax Payment and the relevant Finance Party determines that:</w:t>
      </w:r>
    </w:p>
    <w:p>
      <w:pPr>
        <w:spacing w:after="0" w:line="225" w:lineRule="exact"/>
        <w:rPr>
          <w:sz w:val="20"/>
          <w:szCs w:val="20"/>
          <w:color w:val="auto"/>
        </w:rPr>
      </w:pPr>
    </w:p>
    <w:p>
      <w:pPr>
        <w:ind w:left="1300" w:hanging="644"/>
        <w:spacing w:after="0" w:line="282"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or to a Tax Deduction in consequence of which that Tax Payment was required;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and/or an Affiliate of that Finance Party has obtained and utilised that Tax Credit either on a standalone or an affiliated basis,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Finance Party and/or the applicable Affiliate shall pay an amount to the Company or the Third Party Security Provider which that Finance Party determines will leave it or the applicable Affiliate (after that payment) in the same after-Tax position as it would have been in had the Tax Payment not been required to be made by the Company or the Third Party Security Provider, providing such evidence to the Company or the Third Party Security Provider in respect of such amounts as the Company or the Third Party Security Provider may reasonably and in good faith request in writing and the Finance Party can commercially reasonably provide.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Stamp and documentary duty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shall pay and, within three (3) Business Days of demand, indemnify each Secured Party against any cost, loss or liability that Secured Party incurs in relation to all stamp duty, registration and other similar transfer Taxes payable, in respect of any Finance Document except where such taxes are incurred:</w:t>
      </w:r>
    </w:p>
    <w:p>
      <w:pPr>
        <w:spacing w:after="0" w:line="176" w:lineRule="exact"/>
        <w:rPr>
          <w:sz w:val="20"/>
          <w:szCs w:val="20"/>
          <w:color w:val="auto"/>
        </w:rPr>
      </w:pPr>
    </w:p>
    <w:p>
      <w:pPr>
        <w:ind w:left="1300" w:hanging="644"/>
        <w:spacing w:after="0" w:line="282"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assignment, novation, sub-participation, sub-contract or other transfer of a Loan or any rights under this Agreement (or part thereof) by that Secured Party, unless such event is undertaken;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consequence of an Event of Default; or</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Clause 15 (</w:t>
      </w:r>
      <w:r>
        <w:rPr>
          <w:rFonts w:ascii="Times New Roman" w:cs="Times New Roman" w:eastAsia="Times New Roman" w:hAnsi="Times New Roman"/>
          <w:sz w:val="18"/>
          <w:szCs w:val="18"/>
          <w:i w:val="1"/>
          <w:iCs w:val="1"/>
          <w:color w:val="auto"/>
        </w:rPr>
        <w:t>Mitigation by the Lenders</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voluntary registration made by any Party if such registration is not necessary to evidence, prove, maintain, enforce, compel or otherwise assert the rights of such Secured Party or obligations of any Secured Party under a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b w:val="1"/>
          <w:bCs w:val="1"/>
          <w:color w:val="auto"/>
        </w:rPr>
        <w:t>VAT</w:t>
      </w:r>
    </w:p>
    <w:p>
      <w:pPr>
        <w:spacing w:after="0" w:line="256" w:lineRule="exact"/>
        <w:rPr>
          <w:sz w:val="20"/>
          <w:szCs w:val="20"/>
          <w:color w:val="auto"/>
        </w:rPr>
      </w:pPr>
    </w:p>
    <w:p>
      <w:pPr>
        <w:jc w:val="both"/>
        <w:ind w:left="1300" w:hanging="644"/>
        <w:spacing w:after="0" w:line="25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that VAT (and such Finance Party must promptly provide an appropriate VAT invoice to that Party).</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207"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payable on that supply; and</w:t>
      </w:r>
    </w:p>
    <w:p>
      <w:pPr>
        <w:spacing w:after="0" w:line="183" w:lineRule="exact"/>
        <w:rPr>
          <w:rFonts w:ascii="Times New Roman" w:cs="Times New Roman" w:eastAsia="Times New Roman" w:hAnsi="Times New Roman"/>
          <w:sz w:val="18"/>
          <w:szCs w:val="18"/>
          <w:color w:val="auto"/>
        </w:rPr>
      </w:pPr>
    </w:p>
    <w:p>
      <w:pPr>
        <w:jc w:val="both"/>
        <w:ind w:left="1960" w:right="20" w:hanging="656"/>
        <w:spacing w:after="0" w:line="261" w:lineRule="auto"/>
        <w:tabs>
          <w:tab w:leader="none" w:pos="1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the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7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Clause 12.6 (</w:t>
      </w:r>
      <w:r>
        <w:rPr>
          <w:rFonts w:ascii="Times New Roman" w:cs="Times New Roman" w:eastAsia="Times New Roman" w:hAnsi="Times New Roman"/>
          <w:sz w:val="18"/>
          <w:szCs w:val="18"/>
          <w:i w:val="1"/>
          <w:iCs w:val="1"/>
          <w:color w:val="auto"/>
        </w:rPr>
        <w:t>VAT</w:t>
      </w:r>
      <w:r>
        <w:rPr>
          <w:rFonts w:ascii="Times New Roman" w:cs="Times New Roman" w:eastAsia="Times New Roman" w:hAnsi="Times New Roman"/>
          <w:sz w:val="18"/>
          <w:szCs w:val="18"/>
          <w:color w:val="auto"/>
        </w:rPr>
        <w:t>) to any Party shall, at any time when that Party is treated as a member of a group for VAT purposes, include (where appropriate and unless the context otherwise requires) a reference to the person who is treated as making the supply or (as appropriate) receiving the supply under the grouping rules (as provided for in Article 11 of the Council Directive 2006/112/EC (or as implemented by the relevant member state of the European Union)).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1300" w:hanging="644"/>
        <w:spacing w:after="0" w:line="266"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(10) Business Days of a reasonable request by another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12.7(a)(i) above that it is a FATCA Exempt Party and it subsequently becomes aware that it is not or has ceased to be a FATCA Exempt Party, that Party shall notify that other Party reasonably promptly.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sub-paragraph (a)(iii) above shall not oblige any other Party to do anything, which would or might in its reasonable opinion constitute a breach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paragraph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172"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jc w:val="both"/>
        <w:ind w:left="1300" w:hanging="644"/>
        <w:spacing w:after="0" w:line="256"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13.3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Company shall, within 5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made after the date of this Agreement (or, if later, the date that Finance Party became a Party) or (ii) compliance with any law or regulation made after the date of this Agreement (or, if later, the date that Finance Party became a Party) or (iii) the implementation or application of, or compliance with, Basel III or any law or regulation that implements Basel III including, for the avoidance of doubt, the implementation of Basel III by CRD IV and CRD V.</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a Facility or on a Finance Party’s (or its Affiliate’s) overall capital;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227" w:lineRule="exact"/>
        <w:rPr>
          <w:sz w:val="20"/>
          <w:szCs w:val="20"/>
          <w:color w:val="auto"/>
        </w:rPr>
      </w:pPr>
    </w:p>
    <w:p>
      <w:pPr>
        <w:ind w:left="1300" w:hanging="644"/>
        <w:spacing w:after="0" w:line="284"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following which the Agent shall promptly notify the Company.</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(giving reasonable details of the circumstances giving rise to such claim and the calculation of the Increased Cost) confirming the amount of its Increased Costs, a copy of which shall be provided to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ind w:left="1304" w:hanging="656"/>
        <w:spacing w:after="0"/>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or incurred with respect to any Bank Levy at the rate in force at the date of this Agreement;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w:t>
      </w:r>
      <w:r>
        <w:rPr>
          <w:rFonts w:ascii="Times New Roman" w:cs="Times New Roman" w:eastAsia="Times New Roman" w:hAnsi="Times New Roman"/>
          <w:sz w:val="18"/>
          <w:szCs w:val="18"/>
          <w:b w:val="1"/>
          <w:bCs w:val="1"/>
          <w:color w:val="auto"/>
        </w:rPr>
        <w:t>Basel II</w:t>
      </w:r>
      <w:r>
        <w:rPr>
          <w:rFonts w:ascii="Times New Roman" w:cs="Times New Roman" w:eastAsia="Times New Roman" w:hAnsi="Times New Roman"/>
          <w:sz w:val="18"/>
          <w:szCs w:val="18"/>
          <w:color w:val="auto"/>
        </w:rPr>
        <w:t>”) or any other law or regulation which implements Basel II (whether such implementation, application or compliance is by a government, regulator, Finance Party or any of its Affiliates);</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Basel III, CRD IV or CRD V to the extent that a Finance Party was or reasonably should have been aware about the relevant Increased Cost on or prior to the date on which it became a Finance Party (provided that, if the Increased Cost was not fully quantifiable on or prior to the date on which it became a Finance Party,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apply to that amount of the Increased Cost which was not, or could not reasonably be expected to have been, quantifiable);</w:t>
      </w:r>
    </w:p>
    <w:p>
      <w:pPr>
        <w:spacing w:after="0" w:line="183"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breach by any Finance Party or its Affiliates of any law or regulation or the terms of any Finance Document;</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change (whether in the rate basis, timing or otherwise) of Tax on the overall net income of the Finance Party (or any Affiliate of it) making such claim or of the branch or office through which it lends any Loan;</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any penalty having been imposed by the relevant central bank or monetary or fiscal authority upon the Finance Party (or any Affiliate of it) making such claim by virtue of its having exceeded any country or sector borrowing limits or breached any directives imposed upon it; or</w:t>
      </w:r>
    </w:p>
    <w:p>
      <w:pPr>
        <w:spacing w:after="0" w:line="173"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notified to the Agent or the Company in accordance with paragraph (a) of Clause 13.2 (</w:t>
      </w:r>
      <w:r>
        <w:rPr>
          <w:rFonts w:ascii="Times New Roman" w:cs="Times New Roman" w:eastAsia="Times New Roman" w:hAnsi="Times New Roman"/>
          <w:sz w:val="18"/>
          <w:szCs w:val="18"/>
          <w:i w:val="1"/>
          <w:iCs w:val="1"/>
          <w:color w:val="auto"/>
        </w:rPr>
        <w:t>Increased cost claims</w:t>
      </w:r>
      <w:r>
        <w:rPr>
          <w:rFonts w:ascii="Times New Roman" w:cs="Times New Roman" w:eastAsia="Times New Roman" w:hAnsi="Times New Roman"/>
          <w:sz w:val="18"/>
          <w:szCs w:val="18"/>
          <w:color w:val="auto"/>
        </w:rPr>
        <w:t>) above.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13.3 reference to a Tax Deduction has the same meaning given to the term in Clause 12.1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on capital requirements, a leverage ratio and liquidity standards contained in “Basel III: A global regulatory</w:t>
      </w:r>
    </w:p>
    <w:p>
      <w:pPr>
        <w:spacing w:after="0" w:line="27" w:lineRule="exact"/>
        <w:rPr>
          <w:rFonts w:ascii="Times New Roman" w:cs="Times New Roman" w:eastAsia="Times New Roman" w:hAnsi="Times New Roman"/>
          <w:sz w:val="18"/>
          <w:szCs w:val="18"/>
          <w:color w:val="auto"/>
        </w:rPr>
      </w:pPr>
    </w:p>
    <w:p>
      <w:pPr>
        <w:jc w:val="both"/>
        <w:ind w:left="130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w:t>
      </w:r>
    </w:p>
    <w:p>
      <w:pPr>
        <w:spacing w:after="0" w:line="18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22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CRD IV</w:t>
      </w:r>
      <w:r>
        <w:rPr>
          <w:rFonts w:ascii="Times New Roman" w:cs="Times New Roman" w:eastAsia="Times New Roman" w:hAnsi="Times New Roman"/>
          <w:sz w:val="18"/>
          <w:szCs w:val="18"/>
          <w:color w:val="auto"/>
        </w:rPr>
        <w:t>” means the Capital Requirements Regulation (Regulation 575/2013) (“</w:t>
      </w:r>
      <w:r>
        <w:rPr>
          <w:rFonts w:ascii="Times New Roman" w:cs="Times New Roman" w:eastAsia="Times New Roman" w:hAnsi="Times New Roman"/>
          <w:sz w:val="18"/>
          <w:szCs w:val="18"/>
          <w:b w:val="1"/>
          <w:bCs w:val="1"/>
          <w:color w:val="auto"/>
        </w:rPr>
        <w:t>CRR</w:t>
      </w:r>
      <w:r>
        <w:rPr>
          <w:rFonts w:ascii="Times New Roman" w:cs="Times New Roman" w:eastAsia="Times New Roman" w:hAnsi="Times New Roman"/>
          <w:sz w:val="18"/>
          <w:szCs w:val="18"/>
          <w:color w:val="auto"/>
        </w:rPr>
        <w:t>”) and the CRD IV Directive (2013/36/EU).</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CRD V</w:t>
      </w:r>
      <w:r>
        <w:rPr>
          <w:rFonts w:ascii="Times New Roman" w:cs="Times New Roman" w:eastAsia="Times New Roman" w:hAnsi="Times New Roman"/>
          <w:sz w:val="18"/>
          <w:szCs w:val="18"/>
          <w:color w:val="auto"/>
        </w:rPr>
        <w:t>” means the Capital Requirements Regulation (Regulation (EU) 2019/876) amending the CRR, and the CRD V Directive (2019/878/EU) amending the CRD IV Directive and any implementing measures in the Member States.</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1" w:name="page62"/>
    <w:bookmarkEnd w:id="61"/>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the Company or Third Party Security Provider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 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the Company or Third Party Security Provider;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(or the Company on behalf of the Third Party Security Provider) shall as an independent obligation, within five (5) Business Days of demand, indemnify each other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0" w:lineRule="exact"/>
        <w:rPr>
          <w:sz w:val="20"/>
          <w:szCs w:val="20"/>
          <w:color w:val="auto"/>
        </w:rPr>
      </w:pPr>
    </w:p>
    <w:p>
      <w:pPr>
        <w:ind w:left="130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1300" w:hanging="644"/>
        <w:spacing w:after="0" w:line="282"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within three (3) Business Days of demand (which demand shall be accompanied by reasonable calculations or details of the amount demanded) indemnify each other Secured Party against any cost, loss or liability incurred by it as a result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or any Third Party Security Provider to pay any amount due under a Finance Document on its due date, including without limitation, any cost, loss or liability arising as a result of Clause 28 (</w:t>
      </w:r>
      <w:r>
        <w:rPr>
          <w:rFonts w:ascii="Times New Roman" w:cs="Times New Roman" w:eastAsia="Times New Roman" w:hAnsi="Times New Roman"/>
          <w:sz w:val="18"/>
          <w:szCs w:val="18"/>
          <w:i w:val="1"/>
          <w:iCs w:val="1"/>
          <w:color w:val="auto"/>
        </w:rPr>
        <w:t>Sharing among the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Utilisation requestedby a Borrower in a Utiliastion Request but not made by reason of the operation of any one or more of the provisions of this Agreement (other than by reason of default or negligence by that Finance Party alone);</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payable by any Borrower under the Finance Documents not being paid after irrevocable notice of such prepayment has been made to the Agent;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B Loan (or part of the Facility B Loan) not being prepaid in accordance with a notice of prepayment given by the Borrower (including any conditional or revocable notice of prepayment).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indemnify each Finance Party, each Affiliate of a Finance Party and each officer or employee of a Finance Party or its Affiliate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cost, loss, liability or expense incurred by that Finance Party or its Affiliate (or officer or employee of that Finance Party or Affiliate) in connection with or arising out of the Transaction (including but not limited to those incurred in connection with any litigation, arbitration or administrative proceedings or regulatory enquiry concerning the Transaction), except to the extent such loss or liability is caused by the gross negligence or wilful misconduct of that Finance Party or its Affiliate or by a breach by that Finance Party or its Affiliate of any term of the Finance Documents (or, in each case, employee or officer of that Finance Party or Affiliate) and provided that the Indemnified Persons together shall instruct only one legal counsel in any one jurisdiction at any one time (unless it is reasonably determined they have a conflict as between themselves).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left="1300" w:hanging="644"/>
        <w:spacing w:after="0" w:line="255"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occurs in respect of which indemnification may be sought from the Company, the relevant Indemnified Person shall only be indemnified if it notifies the Company in writing within a reasonable time after the relevant Indemnified Person becomes aware of such event, and shall, to the extent legally permitted and only if it would not prejudice the defence or making of such claim, consult with the Company with respect to the conduct of the relevant claim, action or proceeding, conducts such claim action or proceeding properly and diligently (based on advice from its legal counsel, to the extent permitted by law and without being under any obligation to disclose any information which it is not lawfully permitted to disclose) and does not settle any such claim, action or proceeding without the Company’s prior written consent (such consent not to be unreasonably withheld or delayed).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each Indemnified Person shall be entitled to rely on the indemnities contained in this Clause 14.2 (as if it were a party to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Indemnity to the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within five (5) Business Days of demand indemnify the Agent against:</w:t>
      </w:r>
    </w:p>
    <w:p>
      <w:pPr>
        <w:spacing w:after="0" w:line="225"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the Agent (acting reasonably) as a result of:</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an Event of Default, provided that if after doing so it is established that the event or matter is not a Default or an Event of Default, such cost, loss or liability of investigation shall be for the account of the Lenders;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surveyors or other professional advisers or experts as permitted under this Agreement in an amount not exceeding a cap to be agreed with the Company (acting reasonably), provided that the Agent shall consult with the Company and agree such cap prior to instructing any such person; 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cost, loss or liability (including, without limitation, for negligence or any other category of liability whatsoever) incurred by the Agent (otherwise than by reason of the Agent’s gross negligence or wilful misconduct) (or, in the case of any cost, loss or liability pursuant to Clause 29.11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 any claim based on the fraud of the Agent) in acting as Agent under the Finance Documents.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Indemnity to the Security Agent</w:t>
      </w:r>
    </w:p>
    <w:p>
      <w:pPr>
        <w:spacing w:after="0" w:line="229" w:lineRule="exact"/>
        <w:rPr>
          <w:sz w:val="20"/>
          <w:szCs w:val="20"/>
          <w:color w:val="auto"/>
        </w:rPr>
      </w:pPr>
    </w:p>
    <w:p>
      <w:pPr>
        <w:ind w:left="1300" w:hanging="644"/>
        <w:spacing w:after="0" w:line="282" w:lineRule="auto"/>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indemnify the Security Agent and every Receiver and Delegate against any cost, loss or liability incurred by any of them as a result of:</w:t>
      </w:r>
    </w:p>
    <w:p>
      <w:pPr>
        <w:spacing w:after="0" w:line="15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comply with its obligations under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holding, protection or enforcement of the Transaction Security;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of the rights, powers, discretions, authorities and remedies vested in the Security Agent and each Receiver and Delegate by the Finance Documents or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ind w:left="1960" w:hanging="656"/>
        <w:spacing w:after="0" w:line="282" w:lineRule="auto"/>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by the Company in the performance of any of the obligations expressed to be assumed by it in the Finance Documents;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Security Agent, Receiver or Delegate under the Finance Documents or which otherwise relates to any of the Charged Property (otherwise, in each case, than by reason of the relevant Security Agent’s, Receiver’s or Delegate’s gross negligence or wilful misconduct).</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and every Receiver and Delegate may, in priority to any payment to the Secured Parties, indemnify itself out of the Charged Property in respect of, and pay and retain, all sums necessary to give effect to the indemnity in this Clause 14.4 and shall have a lien on the Transaction Security and the proceeds of the enforcement of the Transaction Security for all moneys payable to it.</w:t>
      </w:r>
    </w:p>
    <w:p>
      <w:pPr>
        <w:spacing w:after="0" w:line="172"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MITIGATION BY THE LENDERS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Company,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12 (Taxes)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 Documents to another Affiliate or Facility Office.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the Company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300" w:hanging="644"/>
        <w:spacing w:after="0" w:line="282"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indemnify each Finance Party for all costs and expenses reasonably incurred by that Finance Party as a result of steps taken by it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156"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shall within 5 Business Days of demand pay the Agent and the Security Agent (and, in the case of the Security Agent, any Receiver or Delegate) the amount of all costs and expenses (including, but not limited to, external legal fees) reasonably incurred by any of them in relation to the arrangement, negotiation, preparation, printing, execution and perfection of the Facilities, provided that no such fees, costs and expenses (other than reasonable and properly incurred external legal fees and expenses in connection with the drafting and negotiation of the Finance Documents) shall be payable if the Closing Date does not occur and if the Closing Date occurs, shall not be payable before the date falling five Business Days after receipt of the corresponding invoice.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(a) the Company or the Third Party Security Provider requests an amendment, waiver or consent, or (b) an amendment is required pursuant to Clause 29.10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the Company shall, within five Business Days of demand, reimburse each of the Agent and the Security Agent for the amount of all reasonable costs and expenses (including, but not limited to, external legal fees) reasonably incurred by the Agent and the Security Agent (and, in the case of the Security Agent, by any Receiver or Delegate) (in each case, subject to agreed caps (if any)) in responding to, evaluating, negotiating or complying with that request or requirement.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Enforcement and preservation costs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shall, within five (5) Business Days of demand, pay to each Secured Party the amount of all costs and expenses (including, but not limited to, external legal fees) incurred by it in connection with the enforcement of or the preservation of any rights under any Finance Document and the Transaction Security and any proceedings instituted by or against the Security Agent as a consequence of taking or holding the Transaction Security or enforcing these rights.</w:t>
      </w:r>
    </w:p>
    <w:p>
      <w:pPr>
        <w:spacing w:after="0" w:line="176"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p>
    <w:p>
      <w:pPr>
        <w:spacing w:after="0" w:line="227" w:lineRule="exact"/>
        <w:rPr>
          <w:rFonts w:ascii="Times New Roman" w:cs="Times New Roman" w:eastAsia="Times New Roman" w:hAnsi="Times New Roman"/>
          <w:sz w:val="18"/>
          <w:szCs w:val="18"/>
          <w:color w:val="auto"/>
        </w:rPr>
      </w:pPr>
    </w:p>
    <w:p>
      <w:pPr>
        <w:jc w:val="both"/>
        <w:ind w:left="6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 the case of Clauses 17.1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17.7 (Insolvency), 17.10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17.19 (</w:t>
      </w:r>
      <w:r>
        <w:rPr>
          <w:rFonts w:ascii="Times New Roman" w:cs="Times New Roman" w:eastAsia="Times New Roman" w:hAnsi="Times New Roman"/>
          <w:sz w:val="18"/>
          <w:szCs w:val="18"/>
          <w:i w:val="1"/>
          <w:iCs w:val="1"/>
          <w:color w:val="auto"/>
        </w:rPr>
        <w:t>Legal and Beneficial Ownership</w:t>
      </w:r>
      <w:r>
        <w:rPr>
          <w:rFonts w:ascii="Times New Roman" w:cs="Times New Roman" w:eastAsia="Times New Roman" w:hAnsi="Times New Roman"/>
          <w:sz w:val="18"/>
          <w:szCs w:val="18"/>
          <w:color w:val="auto"/>
        </w:rPr>
        <w:t>), 17.20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17.24 (</w:t>
      </w:r>
      <w:r>
        <w:rPr>
          <w:rFonts w:ascii="Times New Roman" w:cs="Times New Roman" w:eastAsia="Times New Roman" w:hAnsi="Times New Roman"/>
          <w:sz w:val="18"/>
          <w:szCs w:val="18"/>
          <w:i w:val="1"/>
          <w:iCs w:val="1"/>
          <w:color w:val="auto"/>
        </w:rPr>
        <w:t>Holding companies</w:t>
      </w:r>
      <w:r>
        <w:rPr>
          <w:rFonts w:ascii="Times New Roman" w:cs="Times New Roman" w:eastAsia="Times New Roman" w:hAnsi="Times New Roman"/>
          <w:sz w:val="18"/>
          <w:szCs w:val="18"/>
          <w:color w:val="auto"/>
        </w:rPr>
        <w:t>), 17.27 (</w:t>
      </w:r>
      <w:r>
        <w:rPr>
          <w:rFonts w:ascii="Times New Roman" w:cs="Times New Roman" w:eastAsia="Times New Roman" w:hAnsi="Times New Roman"/>
          <w:sz w:val="18"/>
          <w:szCs w:val="18"/>
          <w:i w:val="1"/>
          <w:iCs w:val="1"/>
          <w:color w:val="auto"/>
        </w:rPr>
        <w:t>Centre of main interests and establishments</w:t>
      </w:r>
      <w:r>
        <w:rPr>
          <w:rFonts w:ascii="Times New Roman" w:cs="Times New Roman" w:eastAsia="Times New Roman" w:hAnsi="Times New Roman"/>
          <w:sz w:val="18"/>
          <w:szCs w:val="18"/>
          <w:color w:val="auto"/>
        </w:rPr>
        <w:t>), 17.28 (</w:t>
      </w:r>
      <w:r>
        <w:rPr>
          <w:rFonts w:ascii="Times New Roman" w:cs="Times New Roman" w:eastAsia="Times New Roman" w:hAnsi="Times New Roman"/>
          <w:sz w:val="18"/>
          <w:szCs w:val="18"/>
          <w:i w:val="1"/>
          <w:iCs w:val="1"/>
          <w:color w:val="auto"/>
        </w:rPr>
        <w:t>Anti-corruption law</w:t>
      </w:r>
      <w:r>
        <w:rPr>
          <w:rFonts w:ascii="Times New Roman" w:cs="Times New Roman" w:eastAsia="Times New Roman" w:hAnsi="Times New Roman"/>
          <w:sz w:val="18"/>
          <w:szCs w:val="18"/>
          <w:color w:val="auto"/>
        </w:rPr>
        <w:t>) and 17.29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only, the Third Party Security Provider only represents and warrants to each of the Finance Parties that: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300" w:hanging="644"/>
        <w:spacing w:after="0" w:line="282"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each of its Subsidiaries is a limited liability company (or similar corporate form) duly incorporated (or, as the case may be, organised) and validly existing under the laws of its jurisdiction of its incorporation (or, as the case may be, organisation).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each of its Subsidiaries has the power to own its assets and carry on its business substantially as it is now being conducted.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and the Perfection Requirements:</w:t>
      </w:r>
    </w:p>
    <w:p>
      <w:pPr>
        <w:spacing w:after="0" w:line="225"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the Transaction Documents to which it is a party are valid, legally binding and enforceable obligations;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each of the Transaction Security Documents to which it is party creates valid security interests which that Transaction Security Document purports to create, ranking in accordance with the terms of such documents and those security interests are valid and effective.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Subject to the Legal Reservations and the Perfection Requirements, (x) the entry into and performance by it of, and the transactions contemplated by, the Transaction Documents to which it is a party, and (y) the granting of the Transaction Security which it grants under the Transaction Security Documents, do not contravene:</w:t>
      </w:r>
    </w:p>
    <w:p>
      <w:pPr>
        <w:spacing w:after="0" w:line="176"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it to an extent which has or is reasonably likely to have a Material Adverse Effect;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in any material respect;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it, or any member of the Group or any of its or their respective assets, to an extent which has or is reasonably likely to have a Material Adverse Effect or constitute a termination event (however described) under any such agreement or instrument which has or is reasonably likely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enter into, perform and deliver, and has taken all necessary action to authorise its entry into, performance and delivery of, each of the Finance Documents to which it is a party or will be a party and to carry out the transactions contemplated by those Finance Documents.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received and obtained all necessary consents and approvals from any relevant corporate bodies (including, any advisory committee and/or shareholder (including under any shareholder agreement (if any))) to enter into the Finance Documents to which it is a party and to perform its obligations thereunder and the Company has received and obtained all necessary consents and approvals from its advisory committee in order to:</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the Borrower to incur any indebtedness under the Finance Documents;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the granting of Security over all shares and securities of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Authorisations required by it in order:</w:t>
      </w:r>
    </w:p>
    <w:p>
      <w:pPr>
        <w:spacing w:after="0" w:line="225" w:lineRule="exact"/>
        <w:rPr>
          <w:sz w:val="20"/>
          <w:szCs w:val="20"/>
          <w:color w:val="auto"/>
        </w:rPr>
      </w:pPr>
    </w:p>
    <w:p>
      <w:pPr>
        <w:ind w:left="130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it lawfully to enter into, exercise its rights and comply with its obligations under the Transaction Documents to which it is a party;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Transaction Documents to which it is a party admissible in evidence in its Relevant Jurisdictions;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its business save to the extent failure to do so would not reasonably be expected to have a Material Adverse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 subject to the Legal Reservations and Perfection Requirements.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229" w:lineRule="exact"/>
        <w:rPr>
          <w:sz w:val="20"/>
          <w:szCs w:val="20"/>
          <w:color w:val="auto"/>
        </w:rPr>
      </w:pPr>
    </w:p>
    <w:p>
      <w:pPr>
        <w:ind w:left="1300" w:hanging="644"/>
        <w:spacing w:after="0" w:line="282" w:lineRule="auto"/>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choice of governing law of the Finance Documents as expressed in such Finance Document will be recognised in its jurisdiction of incorporation.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and the Perfection Requirements, (i) any judgment obtained in relation to a Finance Document in the jurisdiction of the governing law of that Finance Document will be recognised and enforced in its jurisdiction of incorporation and (ii) any judgment obtained in relation to a Transaction Security Document will be recognised and enforced in the jurisdiction of the governing law of that Transaction Security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corporate action, legal proceeding or other formal procedure or step described in Clauses 21.7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to 21.10 (</w:t>
      </w:r>
      <w:r>
        <w:rPr>
          <w:rFonts w:ascii="Times New Roman" w:cs="Times New Roman" w:eastAsia="Times New Roman" w:hAnsi="Times New Roman"/>
          <w:sz w:val="18"/>
          <w:szCs w:val="18"/>
          <w:i w:val="1"/>
          <w:iCs w:val="1"/>
          <w:color w:val="auto"/>
        </w:rPr>
        <w:t>Similar events elsewhere</w:t>
      </w:r>
      <w:r>
        <w:rPr>
          <w:rFonts w:ascii="Times New Roman" w:cs="Times New Roman" w:eastAsia="Times New Roman" w:hAnsi="Times New Roman"/>
          <w:sz w:val="18"/>
          <w:szCs w:val="18"/>
          <w:color w:val="auto"/>
        </w:rPr>
        <w:t>) (each inclusive) has, in each case, subject to the thresholds and exceptions set out in such Clauses and the other provisions of such Clauses, been taken or (to its knowledge and belief) threatened against it, or any member of the Group and, in each case, excluding any such actions, proceedings, steps or process which have been discharged, revoked or otherwise lapsed.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not required by law to make any Tax Deduction from any payment it may make under any Finance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Legal Reservations and the Perfection Requirements, under the laws of its Relevant Jurisdiction it is not necessary that the Finance Documents be filed, recorded or enrolled with any court or other authority in that jurisdiction or that any stamp, documentary, registration, notarial or similar Taxes or fees be paid on or in relation to the Finance Documents or the transactions contemplated by the Finance Documents except for the obligatory registration with the </w:t>
      </w:r>
      <w:r>
        <w:rPr>
          <w:rFonts w:ascii="Times New Roman" w:cs="Times New Roman" w:eastAsia="Times New Roman" w:hAnsi="Times New Roman"/>
          <w:sz w:val="18"/>
          <w:szCs w:val="18"/>
          <w:i w:val="1"/>
          <w:iCs w:val="1"/>
          <w:color w:val="auto"/>
        </w:rPr>
        <w:t>Administration de l’Enregistrement, des Domaines et de la TVA</w:t>
      </w:r>
      <w:r>
        <w:rPr>
          <w:rFonts w:ascii="Times New Roman" w:cs="Times New Roman" w:eastAsia="Times New Roman" w:hAnsi="Times New Roman"/>
          <w:sz w:val="18"/>
          <w:szCs w:val="18"/>
          <w:color w:val="auto"/>
        </w:rPr>
        <w:t xml:space="preserve"> in Luxembourg of the relevant Finance Documents if such Finance Documents are either (i) attached as an annex to an act (</w:t>
      </w:r>
      <w:r>
        <w:rPr>
          <w:rFonts w:ascii="Times New Roman" w:cs="Times New Roman" w:eastAsia="Times New Roman" w:hAnsi="Times New Roman"/>
          <w:sz w:val="18"/>
          <w:szCs w:val="18"/>
          <w:i w:val="1"/>
          <w:iCs w:val="1"/>
          <w:color w:val="auto"/>
        </w:rPr>
        <w:t>annexés à un acte</w:t>
      </w:r>
      <w:r>
        <w:rPr>
          <w:rFonts w:ascii="Times New Roman" w:cs="Times New Roman" w:eastAsia="Times New Roman" w:hAnsi="Times New Roman"/>
          <w:sz w:val="18"/>
          <w:szCs w:val="18"/>
          <w:color w:val="auto"/>
        </w:rPr>
        <w:t>) that itself is subject to mandatory registration or (ii) deposited in the minutes of a notary (</w:t>
      </w:r>
      <w:r>
        <w:rPr>
          <w:rFonts w:ascii="Times New Roman" w:cs="Times New Roman" w:eastAsia="Times New Roman" w:hAnsi="Times New Roman"/>
          <w:sz w:val="18"/>
          <w:szCs w:val="18"/>
          <w:i w:val="1"/>
          <w:iCs w:val="1"/>
          <w:color w:val="auto"/>
        </w:rPr>
        <w:t>déposés au rang des minutes d’un notaire</w:t>
      </w:r>
      <w:r>
        <w:rPr>
          <w:rFonts w:ascii="Times New Roman" w:cs="Times New Roman" w:eastAsia="Times New Roman" w:hAnsi="Times New Roman"/>
          <w:sz w:val="18"/>
          <w:szCs w:val="18"/>
          <w:color w:val="auto"/>
        </w:rPr>
        <w:t>), as well as in case of a voluntary registration of such Finance Documents.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left="1300" w:hanging="644"/>
        <w:spacing w:after="0" w:line="282" w:lineRule="auto"/>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(and none of its Subsidiaries is) materially overdue in the filing of any Tax returns and it is not overdue in the payment of any material amount in respect of Tax.</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and/or investigations are being, or are reasonably likely to be, made or conducted against it (or any of its Subsidiaries) with respect to Taxes.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resident for Tax purposes only in the jurisdiction of its incorporation.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b w:val="1"/>
          <w:bCs w:val="1"/>
          <w:color w:val="auto"/>
        </w:rPr>
        <w:t>No Default</w:t>
      </w:r>
    </w:p>
    <w:p>
      <w:pPr>
        <w:spacing w:after="0" w:line="229" w:lineRule="exact"/>
        <w:rPr>
          <w:sz w:val="20"/>
          <w:szCs w:val="20"/>
          <w:color w:val="auto"/>
        </w:rPr>
      </w:pPr>
    </w:p>
    <w:p>
      <w:pPr>
        <w:ind w:left="1300" w:hanging="644"/>
        <w:spacing w:after="0" w:line="282"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or could reasonably be expected to result from any Utilisation or the entry into or the performance of any Transaction Document.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knowledge and belief of the Company (having made due and careful enquiry), no event has occurred and is continuing which constitutes a default or termination event (howsoever described) under any agreement to which it or any member of the Group is party and which has or could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as disclosed to the Lender in writing prior to the date of this Agreement, any material factual information taken as a whole (other than of a general economic nature) provided by the Borrower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was true, complete and accurate in all material respects as at the date the document containing the Information or (as the case may be) as at the date on which it is expressed to be given or prepared.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knowledge, information and belief of the Company (having made due and careful enquiry), the Original Financial Statements give a true and fair view of the financial position of the Restricted Group for the period to which they relate and were prepared in all material respects in accordance with the Accounting Principles consistently applied.</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Financial Statements (together with the notes thereto) most recently delivered pursuant to Clause 18.4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true and fair view of the consolidated financial position of the Restricted Group as at the date to which they were prepared and for the Financial Year then ended; and</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subject to Clause 18.8 (</w:t>
      </w:r>
      <w:r>
        <w:rPr>
          <w:rFonts w:ascii="Times New Roman" w:cs="Times New Roman" w:eastAsia="Times New Roman" w:hAnsi="Times New Roman"/>
          <w:sz w:val="18"/>
          <w:szCs w:val="18"/>
          <w:i w:val="1"/>
          <w:iCs w:val="1"/>
          <w:color w:val="auto"/>
        </w:rPr>
        <w:t>Agreed Accounting Principles</w:t>
      </w:r>
      <w:r>
        <w:rPr>
          <w:rFonts w:ascii="Times New Roman" w:cs="Times New Roman" w:eastAsia="Times New Roman" w:hAnsi="Times New Roman"/>
          <w:sz w:val="18"/>
          <w:szCs w:val="18"/>
          <w:color w:val="auto"/>
        </w:rPr>
        <w:t>) prepared in accordance with the Accounting Principles consistently applied.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Financial Statements most recently delivered pursuant to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(subject to customary year-end adjustments) the financial position of it and its Subsidiaries and any members of the Restricted Group as at the date to which they were prepared and for the Quarter Date to which they relate; and</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subject to Clause 18.8 (</w:t>
      </w:r>
      <w:r>
        <w:rPr>
          <w:rFonts w:ascii="Times New Roman" w:cs="Times New Roman" w:eastAsia="Times New Roman" w:hAnsi="Times New Roman"/>
          <w:sz w:val="18"/>
          <w:szCs w:val="18"/>
          <w:i w:val="1"/>
          <w:iCs w:val="1"/>
          <w:color w:val="auto"/>
        </w:rPr>
        <w:t>Agreed Accounting Principles)</w:t>
      </w:r>
      <w:r>
        <w:rPr>
          <w:rFonts w:ascii="Times New Roman" w:cs="Times New Roman" w:eastAsia="Times New Roman" w:hAnsi="Times New Roman"/>
          <w:sz w:val="18"/>
          <w:szCs w:val="18"/>
          <w:color w:val="auto"/>
        </w:rPr>
        <w:t>, prepared on a basis consistent with the Accounting Principles (to the extent appropriate in the context of such accounts).</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each Financial Year for the Borrower is 31 December.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b w:val="1"/>
          <w:bCs w:val="1"/>
          <w:color w:val="auto"/>
        </w:rPr>
        <w:t>No litigation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arbitration, action, administrative proceeding or Environmental Claim of or before any court, arbitral body or agency which could reasonably be expected to be adversely determined and which, if adversely determined, is reasonably expected to have a Material Adverse Effect has been started or, to the best of its knowledge is threatened, or is pending against it or any member of the Group.</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labour disputes current, pending or, to its knowledge, threatened which could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and each member of the Group is in compliance with all laws and regulations applicable to it in its jurisdiction of incorporation or jurisdictions in which it operates where non-compliance would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17.16</w:t>
      </w:r>
      <w:r>
        <w:rPr>
          <w:sz w:val="20"/>
          <w:szCs w:val="20"/>
          <w:color w:val="auto"/>
        </w:rPr>
        <w:tab/>
      </w:r>
      <w:r>
        <w:rPr>
          <w:rFonts w:ascii="Times New Roman" w:cs="Times New Roman" w:eastAsia="Times New Roman" w:hAnsi="Times New Roman"/>
          <w:sz w:val="17"/>
          <w:szCs w:val="17"/>
          <w:b w:val="1"/>
          <w:bCs w:val="1"/>
          <w:color w:val="auto"/>
        </w:rPr>
        <w:t>Environmental Laws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each member of the Group, is in compliance with all Environmental Laws and all Environmental Permits necessary in connection with the ownership and operation of its business are in full force and effect in each case where failure to do so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and belief, there are no circumstances which may reasonably be expected to prevent or interfere with it or any of its Subsidiaries being in compliance with any Environmental Law including, without limitation, obtaining or being in compliance with any Environmental Permits in the future where failure to so comply would reasonably be expected to have a Material Adverse Effect.</w:t>
      </w:r>
    </w:p>
    <w:p>
      <w:pPr>
        <w:spacing w:after="0" w:line="176"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8"/>
          <w:szCs w:val="18"/>
          <w:color w:val="auto"/>
        </w:rPr>
        <w:t>17.17</w:t>
      </w:r>
      <w:r>
        <w:rPr>
          <w:sz w:val="20"/>
          <w:szCs w:val="20"/>
          <w:color w:val="auto"/>
        </w:rPr>
        <w:tab/>
      </w:r>
      <w:r>
        <w:rPr>
          <w:rFonts w:ascii="Times New Roman" w:cs="Times New Roman" w:eastAsia="Times New Roman" w:hAnsi="Times New Roman"/>
          <w:sz w:val="18"/>
          <w:szCs w:val="18"/>
          <w:b w:val="1"/>
          <w:bCs w:val="1"/>
          <w:color w:val="auto"/>
        </w:rPr>
        <w:t>No Security/Guarantees/Financial Indebtedness</w:t>
      </w:r>
    </w:p>
    <w:p>
      <w:pPr>
        <w:spacing w:after="0" w:line="229" w:lineRule="exact"/>
        <w:rPr>
          <w:sz w:val="20"/>
          <w:szCs w:val="20"/>
          <w:color w:val="auto"/>
        </w:rPr>
      </w:pPr>
    </w:p>
    <w:p>
      <w:pPr>
        <w:ind w:left="1300" w:hanging="644"/>
        <w:spacing w:after="0" w:line="282" w:lineRule="auto"/>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or Quasi Security (or agreement to create the same) exists on or over its or any of its Subsidiaries’ present and future assets except as permitted by Clause 20.15 (</w:t>
      </w:r>
      <w:r>
        <w:rPr>
          <w:rFonts w:ascii="Times New Roman" w:cs="Times New Roman" w:eastAsia="Times New Roman" w:hAnsi="Times New Roman"/>
          <w:sz w:val="18"/>
          <w:szCs w:val="18"/>
          <w:i w:val="1"/>
          <w:iCs w:val="1"/>
          <w:color w:val="auto"/>
        </w:rPr>
        <w:t>Negative Pledge</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Subsidiaries has granted any guarantee except as permitted by Clause 20.17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Subsidiaries has incurred any Financial Indebtedness except as permitted under Clause 20.16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8" w:name="page69"/>
    <w:bookmarkEnd w:id="6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17.18</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payment obligations of the Company under each of the Finance Documents rank and will at all times (except pursuant to a Notifiable Debt Purchase Transaction)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and priority of payment with all its other present and future unsecured and unsubordinated indebtedness (actual or contingent) except indebtedness preferred by laws of general application.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17.19</w:t>
      </w:r>
      <w:r>
        <w:rPr>
          <w:sz w:val="20"/>
          <w:szCs w:val="20"/>
          <w:color w:val="auto"/>
        </w:rPr>
        <w:tab/>
      </w:r>
      <w:r>
        <w:rPr>
          <w:rFonts w:ascii="Times New Roman" w:cs="Times New Roman" w:eastAsia="Times New Roman" w:hAnsi="Times New Roman"/>
          <w:sz w:val="17"/>
          <w:szCs w:val="17"/>
          <w:b w:val="1"/>
          <w:bCs w:val="1"/>
          <w:color w:val="auto"/>
        </w:rPr>
        <w:t>Legal and Beneficial Ownership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It and each of its Subsidiaries has good, valid and marketable title to, or valid leases or licences of, or is otherwise entitled to use, all material assets necessary for the conduct of the business as it is presently being conducted, where failure to do so would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17.20</w:t>
      </w:r>
      <w:r>
        <w:rPr>
          <w:sz w:val="20"/>
          <w:szCs w:val="20"/>
          <w:color w:val="auto"/>
        </w:rPr>
        <w:tab/>
      </w:r>
      <w:r>
        <w:rPr>
          <w:rFonts w:ascii="Times New Roman" w:cs="Times New Roman" w:eastAsia="Times New Roman" w:hAnsi="Times New Roman"/>
          <w:sz w:val="17"/>
          <w:szCs w:val="17"/>
          <w:b w:val="1"/>
          <w:bCs w:val="1"/>
          <w:color w:val="auto"/>
        </w:rPr>
        <w:t>Shares</w:t>
      </w:r>
    </w:p>
    <w:p>
      <w:pPr>
        <w:spacing w:after="0" w:line="229" w:lineRule="exact"/>
        <w:rPr>
          <w:sz w:val="20"/>
          <w:szCs w:val="20"/>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issued shares and securities in the capital of the Company are wholly and directly legally and beneficially owned and controlled by the Third Party Security Provider.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will be) the direct legal and beneficial owner of the Alvotech LTV Shares and (if any) the Cure Share Collateral and has (or will have) directly good and marketable title to such shares.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Redeemable Preferred Shares are legally and beneficially owned by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capital of the Company and the Redeemable Preferred Shares are fully paid and are not subject to any option to purchase or similar rights.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Constitutional Documents of the Company whose shares are subject to Transaction Security do not and could not restrict or inhibit any transfer of the shares of the Company on creation or enforcement of the security conferred by the relevant Transaction Security Documents.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in force, and no corporate resolutions have been passed, which provide for the issue or allotment of, or grant any person the right to call for the issue or allotment of, any share or loan capital of the Company (including any option or right of pre-emption or conversion) save to the extent such issue or allotment would constitute a Permitted Share Issue.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(other than the Finance Documents) in place with any party that restrict the sale of the Shares, grant rights to any party with respect to the sale proceeds of any Shares or otherwise restrict or inhibit any transfer of the Shares.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direct shareholding in Alvotech does not equal to or exceed 30% of the Shares in Alvotech.</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act in concert (as such term is interpreted from time to time by the Luxembourg Commission de Surveillance du Sector Financier for the purposes of the Takeover Law) with any other direct or indirect holder of the Shares in any manner that would trigger a mandatory takeover offer to be made or required to be made by the Borrower (either alone or together with any other persons) under the Takeover Law in respect of Alvotech at any time.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shareholders agreement exists or is in force in respect of the Company’s shares or shareholdings, save to the extent that such shareholders agreement would not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ind w:left="1300" w:hanging="644"/>
        <w:spacing w:after="0"/>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Transaction Closing Date, the Shares are: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the NASDAQ, NASDAQ Stockholm and NASDAQ Iceland;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 moneys or liabilities are outstanding or payable in respect of any of them; and/or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authorised and validly issued and are freely and fully transferable by their terms and not subject to or the subject of any pre-emption rights, “lock-up” periods or other restrictions on transfer.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b w:val="1"/>
          <w:bCs w:val="1"/>
          <w:color w:val="auto"/>
        </w:rPr>
        <w:t>Redeemable Preferred Shares</w:t>
      </w:r>
    </w:p>
    <w:p>
      <w:pPr>
        <w:spacing w:after="0" w:line="229"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Redeemable Preferred Shares are directly legally and beneficially owned by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Redeemable Preferred Shares are fully paid and are not subject to any option to purchase or similar rights.</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(other than the Finance Documents and the Redeemable Preferred Shares Documents) in place with any party that restrict the sale of the Redeemable Preferred Shares, grant rights to any party with respect to the sale proceeds of any Redeemable Preferred Shares or otherwise restrict or inhibit any transfer of the Redeemable Preferred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Intellectual Property required in order to conduct the business of the Group:</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beneficially owned by or licensed to members of the Group free from any licences to third parties which are materially prejudicial to the use of that Intellectual Property in the business of the Group and will not be adversely affected by the transactions contemplated by the Finance Documents in each case to an extent which would reasonably be expected to have a Material Adverse Effect;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lapsed or been cancelled in any respect which has or could reasonably be expected to have a Material Adverse Effect and all steps have been taken to protect and maintain such Intellectual Property, including, without limitation, paying renewal fees where failure to do so would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17.23</w:t>
      </w:r>
      <w:r>
        <w:rPr>
          <w:sz w:val="20"/>
          <w:szCs w:val="20"/>
          <w:color w:val="auto"/>
        </w:rPr>
        <w:tab/>
      </w:r>
      <w:r>
        <w:rPr>
          <w:rFonts w:ascii="Times New Roman" w:cs="Times New Roman" w:eastAsia="Times New Roman" w:hAnsi="Times New Roman"/>
          <w:sz w:val="17"/>
          <w:szCs w:val="17"/>
          <w:b w:val="1"/>
          <w:bCs w:val="1"/>
          <w:color w:val="auto"/>
        </w:rPr>
        <w:t>Group structure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the best of the knowledge, information and belief of the Company, the factual information relating to the structure of the Restricted Group contained in the Group Structure Chart accurately records in all material respects the structure of the Restricted Group.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17.24</w:t>
      </w:r>
      <w:r>
        <w:rPr>
          <w:sz w:val="20"/>
          <w:szCs w:val="20"/>
          <w:color w:val="auto"/>
        </w:rPr>
        <w:tab/>
      </w:r>
      <w:r>
        <w:rPr>
          <w:rFonts w:ascii="Times New Roman" w:cs="Times New Roman" w:eastAsia="Times New Roman" w:hAnsi="Times New Roman"/>
          <w:sz w:val="18"/>
          <w:szCs w:val="18"/>
          <w:b w:val="1"/>
          <w:bCs w:val="1"/>
          <w:color w:val="auto"/>
        </w:rPr>
        <w:t>Holding companies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Company and the Third Party Security Provider is a Holding Company and:</w:t>
      </w:r>
    </w:p>
    <w:p>
      <w:pPr>
        <w:spacing w:after="0" w:line="225" w:lineRule="exact"/>
        <w:rPr>
          <w:sz w:val="20"/>
          <w:szCs w:val="20"/>
          <w:color w:val="auto"/>
        </w:rPr>
      </w:pPr>
    </w:p>
    <w:p>
      <w:pPr>
        <w:ind w:left="1300" w:hanging="644"/>
        <w:spacing w:after="0" w:line="282"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trade, other than by entering into the Transaction Documents, the provision of administrative services to other members of the Group and any other activity expressly permitted under Clause 20.29 (</w:t>
      </w:r>
      <w:r>
        <w:rPr>
          <w:rFonts w:ascii="Times New Roman" w:cs="Times New Roman" w:eastAsia="Times New Roman" w:hAnsi="Times New Roman"/>
          <w:sz w:val="18"/>
          <w:szCs w:val="18"/>
          <w:i w:val="1"/>
          <w:iCs w:val="1"/>
          <w:color w:val="auto"/>
        </w:rPr>
        <w:t>Holding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own any assets, other than loan and money received by it which are in each case permitted by the terms of the Finance Documents, rights arising under the Finance Documents, the shares in the capital of its Subsidiaries and any other ownership or rights expressly permitted under Clause 20.29 (</w:t>
      </w:r>
      <w:r>
        <w:rPr>
          <w:rFonts w:ascii="Times New Roman" w:cs="Times New Roman" w:eastAsia="Times New Roman" w:hAnsi="Times New Roman"/>
          <w:sz w:val="18"/>
          <w:szCs w:val="18"/>
          <w:i w:val="1"/>
          <w:iCs w:val="1"/>
          <w:color w:val="auto"/>
        </w:rPr>
        <w:t>Holding Company</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liabilities to any person, other than pursuant to the Transaction Documents and in respect of payment of costs, legal fees, auditors’ fees and other similar fees and expenses, and other matters expressly permitted under Clause 20.29 (</w:t>
      </w:r>
      <w:r>
        <w:rPr>
          <w:rFonts w:ascii="Times New Roman" w:cs="Times New Roman" w:eastAsia="Times New Roman" w:hAnsi="Times New Roman"/>
          <w:sz w:val="18"/>
          <w:szCs w:val="18"/>
          <w:i w:val="1"/>
          <w:iCs w:val="1"/>
          <w:color w:val="auto"/>
        </w:rPr>
        <w:t>Holding Company</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17.25</w:t>
      </w:r>
      <w:r>
        <w:rPr>
          <w:sz w:val="20"/>
          <w:szCs w:val="20"/>
          <w:color w:val="auto"/>
        </w:rPr>
        <w:tab/>
      </w:r>
      <w:r>
        <w:rPr>
          <w:rFonts w:ascii="Times New Roman" w:cs="Times New Roman" w:eastAsia="Times New Roman" w:hAnsi="Times New Roman"/>
          <w:sz w:val="17"/>
          <w:szCs w:val="17"/>
          <w:b w:val="1"/>
          <w:bCs w:val="1"/>
          <w:color w:val="auto"/>
        </w:rPr>
        <w:t>Pension Schemes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pension schemes of each member of the Group are funded to the extent required by law or otherwise comply with the requirements of any material law applicable in the jurisdiction in which the relevant pension scheme is maintained, in each case, where failure to do so would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17.26</w:t>
      </w:r>
      <w:r>
        <w:rPr>
          <w:sz w:val="20"/>
          <w:szCs w:val="20"/>
          <w:color w:val="auto"/>
        </w:rPr>
        <w:tab/>
      </w:r>
      <w:r>
        <w:rPr>
          <w:rFonts w:ascii="Times New Roman" w:cs="Times New Roman" w:eastAsia="Times New Roman" w:hAnsi="Times New Roman"/>
          <w:sz w:val="17"/>
          <w:szCs w:val="17"/>
          <w:b w:val="1"/>
          <w:bCs w:val="1"/>
          <w:color w:val="auto"/>
        </w:rPr>
        <w:t>Insurances</w:t>
      </w:r>
    </w:p>
    <w:p>
      <w:pPr>
        <w:spacing w:after="0" w:line="227" w:lineRule="exact"/>
        <w:rPr>
          <w:sz w:val="20"/>
          <w:szCs w:val="20"/>
          <w:color w:val="auto"/>
        </w:rPr>
      </w:pPr>
    </w:p>
    <w:p>
      <w:pPr>
        <w:jc w:val="both"/>
        <w:ind w:left="660" w:right="20"/>
        <w:spacing w:after="0" w:line="267" w:lineRule="auto"/>
        <w:rPr>
          <w:sz w:val="20"/>
          <w:szCs w:val="20"/>
          <w:color w:val="auto"/>
        </w:rPr>
      </w:pPr>
      <w:r>
        <w:rPr>
          <w:rFonts w:ascii="Times New Roman" w:cs="Times New Roman" w:eastAsia="Times New Roman" w:hAnsi="Times New Roman"/>
          <w:sz w:val="18"/>
          <w:szCs w:val="18"/>
          <w:color w:val="auto"/>
        </w:rPr>
        <w:t>The insurances required by Clause 20.4 (</w:t>
      </w:r>
      <w:r>
        <w:rPr>
          <w:rFonts w:ascii="Times New Roman" w:cs="Times New Roman" w:eastAsia="Times New Roman" w:hAnsi="Times New Roman"/>
          <w:sz w:val="18"/>
          <w:szCs w:val="18"/>
          <w:i w:val="1"/>
          <w:iCs w:val="1"/>
          <w:color w:val="auto"/>
        </w:rPr>
        <w:t>Insurances</w:t>
      </w:r>
      <w:r>
        <w:rPr>
          <w:rFonts w:ascii="Times New Roman" w:cs="Times New Roman" w:eastAsia="Times New Roman" w:hAnsi="Times New Roman"/>
          <w:sz w:val="18"/>
          <w:szCs w:val="18"/>
          <w:color w:val="auto"/>
        </w:rPr>
        <w:t>) are in full force and effect as required by this Agreement and no event or circumstance has occurred (and no failure to disclose a fact) which would entitle any insurer to reduce or avoid its liability under any such insurance where such event, circumstance or failure would reasonably be expected to have a Material Adverse Effect.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17.27</w:t>
      </w:r>
      <w:r>
        <w:rPr>
          <w:sz w:val="20"/>
          <w:szCs w:val="20"/>
          <w:color w:val="auto"/>
        </w:rPr>
        <w:tab/>
      </w:r>
      <w:r>
        <w:rPr>
          <w:rFonts w:ascii="Times New Roman" w:cs="Times New Roman" w:eastAsia="Times New Roman" w:hAnsi="Times New Roman"/>
          <w:sz w:val="17"/>
          <w:szCs w:val="17"/>
          <w:b w:val="1"/>
          <w:bCs w:val="1"/>
          <w:color w:val="auto"/>
        </w:rPr>
        <w:t>Centre of main interests and establishments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For the purposes of The Council of the European Union Regulation No. 2015/848 of 20 May 2015 on insolvency proceedings (recast) (the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so far as it is aware, its centre of main interest (as that term is used in Article 3(1) of the Regulation) is situated in its jurisdiction of incorporation and it has no “establishment” (as that term is used in Article 2(10) of the Insolvency Regulation) in any other jurisdiction.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17.28</w:t>
      </w:r>
      <w:r>
        <w:rPr>
          <w:sz w:val="20"/>
          <w:szCs w:val="20"/>
          <w:color w:val="auto"/>
        </w:rPr>
        <w:tab/>
      </w:r>
      <w:r>
        <w:rPr>
          <w:rFonts w:ascii="Times New Roman" w:cs="Times New Roman" w:eastAsia="Times New Roman" w:hAnsi="Times New Roman"/>
          <w:sz w:val="17"/>
          <w:szCs w:val="17"/>
          <w:b w:val="1"/>
          <w:bCs w:val="1"/>
          <w:color w:val="auto"/>
        </w:rPr>
        <w:t>Anti-corruption law</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Group and each member of the Group’s directors or officers and (to the best of its knowledge) any of their respective employees, Affiliates or agents has conducted its businesses in compliance with, and has not engaged in any activity or conduct which would violate, any applicable anti-corruption (including anti-bribery) and anti-money laundering laws, regulations or rules in any applicable jurisdiction and has instituted and maintained prudent policies and procedures designed to promote and achieve compliance with such laws, regulations and rules.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(having made all due enquiry), no Prohibited Payment has been made or provided, directly or indirectly, by (or on behalf of) the Company, any of its Affiliates, its officers, directors or any other person acting on its behalf to, or for the benefit of, any Sanctions Authority (or any official, officer, director, agent or key employee of, or other person with management responsibilities in, any Sanctions Authority) in connection with any Finance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17.29</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member of the Group (including each of their directors, officers and employees) is, nor, to the best of its knowledge, is any agent or Affiliate of the Company:</w:t>
      </w:r>
    </w:p>
    <w:p>
      <w:pPr>
        <w:spacing w:after="0" w:line="162"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breach, or has been in breach of Sanctions;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subject to or involved in any complaint, claim, proceeding, formal notice, investigation or other action by any regulatory or enforcement authority or third party concerning any Sanctions.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17.30</w:t>
      </w:r>
      <w:r>
        <w:rPr>
          <w:sz w:val="20"/>
          <w:szCs w:val="20"/>
          <w:color w:val="auto"/>
        </w:rPr>
        <w:tab/>
      </w:r>
      <w:r>
        <w:rPr>
          <w:rFonts w:ascii="Times New Roman" w:cs="Times New Roman" w:eastAsia="Times New Roman" w:hAnsi="Times New Roman"/>
          <w:sz w:val="18"/>
          <w:szCs w:val="18"/>
          <w:b w:val="1"/>
          <w:bCs w:val="1"/>
          <w:color w:val="auto"/>
        </w:rPr>
        <w:t>Repetition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Clause 17 shall be made on the date of this Agreement and the Closing Date except that the representations and warranties set out in paragraph (a) of Clause 17.13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shall be made only on the date of this Agreement and not repeated thereafter.</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set out in Clause 17 except Clause 17.7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Clause 17.8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and Clause 17.9 (</w:t>
      </w:r>
      <w:r>
        <w:rPr>
          <w:rFonts w:ascii="Times New Roman" w:cs="Times New Roman" w:eastAsia="Times New Roman" w:hAnsi="Times New Roman"/>
          <w:sz w:val="18"/>
          <w:szCs w:val="18"/>
          <w:i w:val="1"/>
          <w:iCs w:val="1"/>
          <w:color w:val="auto"/>
        </w:rPr>
        <w:t>No filing or stamp taxes</w:t>
      </w:r>
      <w:r>
        <w:rPr>
          <w:rFonts w:ascii="Times New Roman" w:cs="Times New Roman" w:eastAsia="Times New Roman" w:hAnsi="Times New Roman"/>
          <w:sz w:val="18"/>
          <w:szCs w:val="18"/>
          <w:color w:val="auto"/>
        </w:rPr>
        <w:t>) (such representations and warranties being the “</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shall be deemed to be repeated on the first day of each Quarter Period.</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out in paragraph (b) of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respect of each set of Financial Statements delivered pursuant to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shall only be made once in respect of each set of Financial Statements and shall be made on the date such Financial Statements are delivered.</w:t>
      </w:r>
    </w:p>
    <w:p>
      <w:pPr>
        <w:spacing w:after="0" w:line="171"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AND ACCOUNTING UNDERTAKINGS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undertakings in this Clause 18 shall continue for so long as any sum remains payable or capable of becoming payable under the Finance Documents or any Commitment is in force.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will, promptly after becoming aware of it, notify the Agent (with a copy to the Security Agent) of the occurrence of any Default that is continuing (and the steps if any being taken to remedy it and will from time to time if the Agent has reasonable grounds for believing that a Default has occurred and is continuing and so requests in writing, deliver to the Agent a certificate on behalf of the Company, signed by the CEO or CFO confirming that to the best of such director’s knowledge, no Default has occurred and is continuing or setting out details of any Default of which such director is aware and the action (if any) taken or proposed to be taken to remedy it).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b w:val="1"/>
          <w:bCs w:val="1"/>
          <w:color w:val="auto"/>
        </w:rPr>
        <w:t>Books of Account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keep, and the Company will procure that its Subsidiaries will keep, proper books of account relating to its business.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b w:val="1"/>
          <w:bCs w:val="1"/>
          <w:color w:val="auto"/>
        </w:rPr>
        <w:t>Appointment of Auditors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will not (except where required by applicable law) appoint any auditors other than the Auditors in respect of the Financial Statements delivered under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hanging="644"/>
        <w:spacing w:after="0" w:line="282" w:lineRule="auto"/>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(or will procure that the relevant member of the Restricted Group delivers) to the Agent for distribution to the Lenders (with sufficient copies for each of the Lenders, if so requested by the Agent) copies of the following:</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these are available and in any event within 120 days after the end of each Financial Year of the Company ending after the Closing Date:</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 audited consolidated financial statements of each of New Alvogen US Holdings and Alvotech and (y) the audited financial statements of the Company for that Financial Year (the “</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prepared and requested by a Lender, the audited financial statements of each of New Alvogen US Holdings and Alvotech for that Financial Year;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ind w:left="1960" w:right="20" w:hanging="656"/>
        <w:spacing w:after="0" w:line="282" w:lineRule="auto"/>
        <w:tabs>
          <w:tab w:leader="none" w:pos="1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Month ending on Quarter Date (x) the consolidated financial statements of Alvotech and (y) the financial statements of the Company for that Financial Quarter (the “</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each of the Financial Statements delivered to the Agent pursuant to this Agreement shall: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balance sheet, profit and loss account and full cashflow statement (including changes in cash);</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accompanied by a comparison of actual performance for that period against the corresponding period in the last Financial Year, and in the case of the Annual Financial Statements, include a statement as to the performance of and material developments in the business and cumulative management accounts for the relevant Financial Year;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represent (subject to customary year-end adjustments) the financial condition of the Restricted Group and its operations (as at the date on which those financial statements or accounts were drawn up and, in the case of the Annual Financial Statements, shall be certified by the CEO or CFO as giving a true and fair view of the financial condition of the Restricted Group) and shall, for the avoidance of doubt, be accompanied by the audit opinion from the Auditors in respect of the relevant Annual Financial Statements.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b w:val="1"/>
          <w:bCs w:val="1"/>
          <w:color w:val="auto"/>
        </w:rPr>
        <w:t>Compliance Certificates and LTV Calculations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Agent within 10 Business Days of the end of each calender month (commencing on the month end of the first full calendar month after the Closing Date), with each set of Quarterly Financial Statements (commencing with the first Quarterly Financial Statements following the Closing Date) and with the Annual Financial Statements, a Compliance Certificate signed by the CEO or CFO:</w:t>
      </w:r>
    </w:p>
    <w:p>
      <w:pPr>
        <w:spacing w:after="0" w:line="177"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whether or not the Group was in compliance with the financial covenant contained in Clause 19.2 (</w:t>
      </w:r>
      <w:r>
        <w:rPr>
          <w:rFonts w:ascii="Times New Roman" w:cs="Times New Roman" w:eastAsia="Times New Roman" w:hAnsi="Times New Roman"/>
          <w:sz w:val="18"/>
          <w:szCs w:val="18"/>
          <w:i w:val="1"/>
          <w:iCs w:val="1"/>
          <w:color w:val="auto"/>
        </w:rPr>
        <w:t>LTV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w:t>
      </w:r>
      <w:r>
        <w:rPr>
          <w:rFonts w:ascii="Times New Roman" w:cs="Times New Roman" w:eastAsia="Times New Roman" w:hAnsi="Times New Roman"/>
          <w:sz w:val="18"/>
          <w:szCs w:val="18"/>
          <w:color w:val="auto"/>
        </w:rPr>
        <w:t>) at all times in the relevant month;</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out (in reasonable detail) computations as to compliance with the financial covenant by setting out the Alvotech LTV for each day in the relevant month in a manner consistent in all respects with the method of calculation set out in the LTV Calculation Template;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(giving reasonable detail) any new debt and/or equity investment in an amount equal to or in excess of $100,000 (or its equivalent in any other currency) incurred during that Financial Quarter by the Company or any other member of the Restricted Group;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so far as it is aware (having made due and careful enquiry), no Event of Default is continuing.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Compliance Certificate delivered with the Annual Financial Statements shall be reported on by the Auditors as to the proper extraction of the numbers set out in the Annual Financial Statements to the extent such numbers are used in the calculation of the financial covenants contained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and shall, if such financial statements are prepared on a different accounting basis to the Accounting Principles, be accompanied by a certificate from the Auditors confirming the basis for such changes and the calculations and adjustments and a reconciliation to the original Accounting Principles (subject to each Finance Party agreeing an engagement letter with the Auditors (and otherwise in such manner and on such conditions as the Auditors specify) and only to the extent that firms of auditors of international repute have not adopted a general policy of not providing such reports), it being understood, for the avoidance of doubt, that nothing in this Agreement shall require the Auditors to confirm or comment on the actual calculation of such financial covenant or any other matter other than the extraction of the numbers referred to above. The Company shall use all reasonable endeavours to ensure that the Auditors provide an engagement letter on acceptable terms.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left="1300" w:hanging="644"/>
        <w:spacing w:after="0" w:line="254"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each Compliance Certificate delivered to the Agent in accordance with this Clause 18 and each LTV Certificate shall each include sufficient information (in the sole opinion of the Agent (acting on the instructions of the Majority Lenders, acting reasonably)), in form and substance as may be reasonably required by the Agent (acting on the instructions of the Majority Lenders) to determine whether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or the Alvotech LTV (as applicable) has been complied with and to make an accurate comparison between the calculations as to the compliance with those financial covenants provided in any Compliance Certificate delivered to it pursuant to paragraphs (a) and (b) above of this Clause 18.5 or the financial ratios contained in any LTV Certificate (as applicable) (the “</w:t>
      </w:r>
      <w:r>
        <w:rPr>
          <w:rFonts w:ascii="Times New Roman" w:cs="Times New Roman" w:eastAsia="Times New Roman" w:hAnsi="Times New Roman"/>
          <w:sz w:val="18"/>
          <w:szCs w:val="18"/>
          <w:b w:val="1"/>
          <w:bCs w:val="1"/>
          <w:color w:val="auto"/>
        </w:rPr>
        <w:t>Company LTV Calculations</w:t>
      </w:r>
      <w:r>
        <w:rPr>
          <w:rFonts w:ascii="Times New Roman" w:cs="Times New Roman" w:eastAsia="Times New Roman" w:hAnsi="Times New Roman"/>
          <w:sz w:val="18"/>
          <w:szCs w:val="18"/>
          <w:color w:val="auto"/>
        </w:rPr>
        <w:t>”) with the method of calculation set out in the LTV Calculation Template, provided further that the Agent (acting on behalf of any of the Lenders) shall, at any time following the delivery of a Compliance Certificate under this Clause 18 and any LTV Certificate (as applicable):</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right to challenge such Company LTV Calculations in any manner as it sees fit if it reasonably believes any Company LTV Calculation is materially incorrect or inconsistent with the method of calculation set out in the LTV Calculation Template or the definitions of Alvotech Investment Value and Alvotech LTV and the Company shall be required to cooperate with the Agent in good faith to promptly provide any necessary information that the Agent may request to reconcile those Company LTV Calculations; and</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paragraph (i) above, the Agent (acting on behalf of itself or any of the Lenders) determines the Company LTV Calculations to be materially incorrect, the Company shall promptly (and in any event within 5 Business Days) following a notification in writing from the Agent provide a revised Compliance Certificate or a revised LTV Certificate (as applicable) to the Agent (signed by the CFO) setting out the revised financial covenants for the Relevant Period (in the case of a Compliance Certificate) or (in the case of an LTV Certificate) setting out the revised calculations of the Alvotech LTV after giving effect to any changes or amendments to the calculation as directed by the Agent (acting reasonably and in good faith, on the instructions of the Majority Lenders).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b w:val="1"/>
          <w:bCs w:val="1"/>
          <w:color w:val="auto"/>
        </w:rPr>
        <w:t>Investigations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will (and will ensure that each other member of the Group will) while an Event of Default is continuing, permit the Agent or other professional advisers engaged by the Agent (after consultation with the Company as to the scope of the investigation and engagement), at the cost of the Company:</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access (in the presence of the Company) at all reasonable times and on reasonable notice to the books, accounts and records of each member of the Group to the extent the Agent (acting reasonably) considers such books, accounts or records to be relevant to the Event of Default which has occurred and to inspect and take copies of and extracts from such books, accounts and records;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normal business hours and on reasonable notice to meet and discuss with senior management of the Company or other member of the Group,</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provided that all information obtained by the Finance Parties as a result of such access shall be subject to the confidentiality restrictions set out in this Agreement and provided further that any third party engaged by the Agent must provide a confidentiality undertaking in favour of the Company and any other relevant members of the Group prior to receiving access unless such third party is under a professional duty of confidentiality.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promptly upon becoming aware of or receiving a request (as the case may be) deliver to the Agent for distribution to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litigation, arbitration or administrative proceedings, Environmental Claim, action or labour dispute affecting it or any of its Subsidiaries or a member of the Restricted Group or the Third Party Security Provider which could reasonably be expected to have a Material Adverse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material information relating to any governmental or regulatory processes and approvals required by any member of the Restricted Group;</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details of any proposed Material Transaction and any Relevant Restricted Group Transaction;</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sent to the Company’s creditors, any other material document or material information sent to the Company’s creditors as a class by reason of financial difficulty;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the Group, Restricted Group or the Third Party Security Provider, as the Agent or the Majority Lenders through the Agent may from time to time reasonably request;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up-to-date Group Structure Chart (following receipt of a request for the same from the Agent);</w:t>
      </w:r>
    </w:p>
    <w:p>
      <w:pPr>
        <w:spacing w:after="0" w:line="22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transaction which will give rise to a mandatory prepayment obligation under paragraph (b) of Clause 8.2 (</w:t>
      </w:r>
      <w:r>
        <w:rPr>
          <w:rFonts w:ascii="Times New Roman" w:cs="Times New Roman" w:eastAsia="Times New Roman" w:hAnsi="Times New Roman"/>
          <w:sz w:val="18"/>
          <w:szCs w:val="18"/>
          <w:i w:val="1"/>
          <w:iCs w:val="1"/>
          <w:color w:val="auto"/>
        </w:rPr>
        <w:t>Disposal,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Acquisition and Insurance Proceeds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material event or circumstance affecting a member of the Restricted Group or the Third Party Security Provider which could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material required remedial actions identified by any regulatory body with jurisdiction over any member of the Restricted Group or the Third Party Security Provider (including in relation to good clinical practice, good laboratory practice, good manufacturing practice, and the requirement of any food and drugs administration) in any audit conducted by such body in respect of member of the Group or Restricted Group, where the failure to take such remedial actions could reasonably be expected to be materially adverse to the interests of the Lenders under the Finance Documents.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7"/>
          <w:szCs w:val="17"/>
          <w:b w:val="1"/>
          <w:bCs w:val="1"/>
          <w:color w:val="auto"/>
        </w:rPr>
        <w:t>Agreed Accounting Principles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procure that all its Financial Statements delivered or to be delivered to the Agent under this Agreement shall be prepared in accordance with the Accounting Principles, accounting practices and financial reference periods consistent with those applied in the Original Financial Statements. If such Financial Statements are prepared on a different accounting basis to the Accounting Principles (including in the case of a change of Accounting Principles), accounting practices and financial reference periods consistent with those applied in the Original Financial Statements:</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so notify the Agent;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Agent following notification under paragraph (i) above, the Company must promptly supply to the Agent a full description of the change notified under paragraph (i) and a statement (the “</w:t>
      </w:r>
      <w:r>
        <w:rPr>
          <w:rFonts w:ascii="Times New Roman" w:cs="Times New Roman" w:eastAsia="Times New Roman" w:hAnsi="Times New Roman"/>
          <w:sz w:val="18"/>
          <w:szCs w:val="18"/>
          <w:b w:val="1"/>
          <w:bCs w:val="1"/>
          <w:color w:val="auto"/>
        </w:rPr>
        <w:t>Reconciliation Statement</w:t>
      </w:r>
      <w:r>
        <w:rPr>
          <w:rFonts w:ascii="Times New Roman" w:cs="Times New Roman" w:eastAsia="Times New Roman" w:hAnsi="Times New Roman"/>
          <w:sz w:val="18"/>
          <w:szCs w:val="18"/>
          <w:color w:val="auto"/>
        </w:rPr>
        <w:t>”) signed by the CFO or CEO;</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7" w:lineRule="auto"/>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Agent (on behalf of the Lenders) shall promptly after such notification enter into negotiations in good faith with a view to agreeing (A) such amendments to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and/or the definitions of any or all of the terms used therein as are necessary to give the Lenders comparable protection to that contemplated at the date of this Agreement and</w:t>
      </w:r>
    </w:p>
    <w:p>
      <w:pPr>
        <w:spacing w:after="0" w:line="1"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other amendments to this Agreement which are necessary to ensure that the adoption by the Restricted Group of such different accounting basis does not result in any material alteration in the commercial effect of the obligations of the Company in the Finance Documents;</w:t>
      </w:r>
    </w:p>
    <w:p>
      <w:pPr>
        <w:spacing w:after="0" w:line="18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amendments satisfactory to the Majority Lenders (acting reasonably and in accordance with the provisions of this Clause) are agreed by the Company and the Agent in writing within 30 days of such notification to the Agent, those amendments shall take effect in accordance with the terms of that agreement;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left="1960" w:hanging="656"/>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amendments are not so agreed within 30 days, the Company shall promptly deliver to the Agent:</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reasonable detail and in a form satisfactory to the Agent, details of all such adjustments as need to be made to the relevant Financial Statements in order to reflect the applicable Accounting Principles at the date of delivery of the relevant Financial Statements;</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information, in form and substance as may be reasonably required by the Agent, to enable the Lenders to determine whether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has been complied with including but not limited to a Reconciliation Statement to be delivered with each set of Financial Statements; and</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Compliance Certificate delivered with the Annual Financial Statements for that Financial Year, written confirmation from the Auditors (addressed to the Agent) confirming the basis for such changes and the calculations and adjustments provided by the Company under paragraphs (A) and (B) above (subject to each Finance Party agreeing an engagement letter with the Auditors (and otherwise in such manner and on such conditions as the auditors specify) and only to the extent that the Auditors have not adopted a general policy of not providing such confirmation).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alteration may be made to the Accounting Reference Date of the Company without the prior written consent of the Agent (acting on the instructions of the Majority Lenders) (in which event the Agent may require such changes to the financial covenant contained in this Agreement as will fairly reflect such change).</w:t>
      </w:r>
    </w:p>
    <w:p>
      <w:pPr>
        <w:spacing w:after="0" w:line="3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7"/>
          <w:szCs w:val="17"/>
          <w:b w:val="1"/>
          <w:bCs w:val="1"/>
          <w:color w:val="auto"/>
        </w:rPr>
        <w:t>Annual Presentation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Once in every Financial Year of the Group (or more frequently if reasonably requested by the Agent while an Event of Default has occurred and is continuing) at least two executive directors of the Company (one of whom shall be the finance director or the CFO) shall, if requested by the Agent, give a single presentation to the Finance Parties, at a time and venue agreed with the Agent (which may be, at the election of the Company, held by video-conference), about the on-going business, prospects and financial performance of the Restricted Group.</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b w:val="1"/>
          <w:bCs w:val="1"/>
          <w:color w:val="auto"/>
        </w:rPr>
        <w:t>“Know your customer” checks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upon the request of the Agent or any Lender, supply, or procure the supply of, such documentation and other evidence as is requested by the Agent (for itself or on behalf of any Lender) or any Lender (for itself or on behalf of any prospective New Lender) (provided it has entered into a Confidentiality Undertaking substantially in the standard LMA form) in order for the Agent, such Lender or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b w:val="1"/>
          <w:bCs w:val="1"/>
          <w:color w:val="auto"/>
        </w:rPr>
        <w:t>DAC6</w:t>
      </w:r>
    </w:p>
    <w:p>
      <w:pPr>
        <w:spacing w:after="0" w:line="227"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18.11 (</w:t>
      </w:r>
      <w:r>
        <w:rPr>
          <w:rFonts w:ascii="Times New Roman" w:cs="Times New Roman" w:eastAsia="Times New Roman" w:hAnsi="Times New Roman"/>
          <w:sz w:val="18"/>
          <w:szCs w:val="18"/>
          <w:i w:val="1"/>
          <w:iCs w:val="1"/>
          <w:color w:val="auto"/>
        </w:rPr>
        <w:t>DAC6</w:t>
      </w:r>
      <w:r>
        <w:rPr>
          <w:rFonts w:ascii="Times New Roman" w:cs="Times New Roman" w:eastAsia="Times New Roman" w:hAnsi="Times New Roman"/>
          <w:sz w:val="18"/>
          <w:szCs w:val="18"/>
          <w:color w:val="auto"/>
        </w:rPr>
        <w:t>), “DAC6” means the Council Directive of 25 May 2018 (2018/822/EU) amending Directive 2011/16/EU.</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written request of the Agent, the Company shall supply to the Agent (in sufficient copies for all the Lenders, if the Agent so requests), to the extent that the information is in the Company’s possession and to the extent it may commercially do so, information to the Lenders to assist the Lenders in evaluating their own DAC6 reporting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b w:val="1"/>
          <w:bCs w:val="1"/>
          <w:color w:val="auto"/>
        </w:rPr>
        <w:t>Public Lender Information</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certain of the Lenders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may have personnel who do not wish to receive material non-public information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which may be included in the information provided to the Lenders pursuant to this Clause 18 (</w:t>
      </w:r>
      <w:r>
        <w:rPr>
          <w:rFonts w:ascii="Times New Roman" w:cs="Times New Roman" w:eastAsia="Times New Roman" w:hAnsi="Times New Roman"/>
          <w:sz w:val="18"/>
          <w:szCs w:val="18"/>
          <w:i w:val="1"/>
          <w:iCs w:val="1"/>
          <w:color w:val="auto"/>
        </w:rPr>
        <w:t>Information and Accounting Undertakings</w:t>
      </w:r>
      <w:r>
        <w:rPr>
          <w:rFonts w:ascii="Times New Roman" w:cs="Times New Roman" w:eastAsia="Times New Roman" w:hAnsi="Times New Roman"/>
          <w:sz w:val="18"/>
          <w:szCs w:val="18"/>
          <w:color w:val="auto"/>
        </w:rPr>
        <w:t>) in respect of the Borrower or its Affiliates or any member of the Restricted Group, or the respective securities of any of the foregoing (the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give less than five Business Days’ notice to the Agent or such Public Lenders prior to delivering any Borrower Materials that contain MNPI, following which the Agent or such Public Lenders can either:</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the delivery of such Borrower Materials, in which case the Borrower’s obligations under this Agreement, including this Clause 18 (</w:t>
      </w:r>
      <w:r>
        <w:rPr>
          <w:rFonts w:ascii="Times New Roman" w:cs="Times New Roman" w:eastAsia="Times New Roman" w:hAnsi="Times New Roman"/>
          <w:sz w:val="18"/>
          <w:szCs w:val="18"/>
          <w:i w:val="1"/>
          <w:iCs w:val="1"/>
          <w:color w:val="auto"/>
        </w:rPr>
        <w:t>Information and Accounting Undertakings</w:t>
      </w:r>
      <w:r>
        <w:rPr>
          <w:rFonts w:ascii="Times New Roman" w:cs="Times New Roman" w:eastAsia="Times New Roman" w:hAnsi="Times New Roman"/>
          <w:sz w:val="18"/>
          <w:szCs w:val="18"/>
          <w:color w:val="auto"/>
        </w:rPr>
        <w:t>), with respect to such Borrower Materials shall be deemed satisfied as to the Agent or such Public Lenders, as applicable;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delivery of such Borrower Materials to the Agent or such Public Lenders pursuant to procedures acceptable to the Agent or such Public Lenders (which may be designed to comply with the internal procedures of the Agent or such Public Lenders regarding the use of MNPI),</w:t>
      </w:r>
    </w:p>
    <w:p>
      <w:pPr>
        <w:spacing w:after="0" w:line="172"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if the Agent or such Public Lender does not make an election under this paragraph (b) the Agent or such Public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elected the option under sub-paragraph (i) of this paragraph (b). If the Agent or such Public Lender elects the option under sub-paragraph (ii) of this paragraph (b), the Borrower shall promptly deliver to the Agent or such Public Lenders the Borrower Materials.</w:t>
      </w:r>
    </w:p>
    <w:p>
      <w:pPr>
        <w:spacing w:after="0" w:line="180"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that (unless otherwise agreed by the Agent (acting on the instructions of the Majority Lenders)):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Borrower Materials that are to be made available to Public Lenders shall be clearly and conspicuously marked “PUBLIC” which, at a minimum, shall mean that the word “PUBLIC” shall appear prominently on the first page thereof.</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Borrower Materials “PUBLIC”, the Company shall be deemed to have authorised the Agent and the Finance Parties to treat such Borrower Materials as not containing any MNPI;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treat any Borrower Materials that are not marked “PUBLIC” as being suitable only for Lenders who are not Public Lenders (it being understood that such information may notwithstanding that it is not MNPI, not be in the public domain and may be confidential, sensitive and proprietary).</w:t>
      </w:r>
    </w:p>
    <w:p>
      <w:pPr>
        <w:spacing w:after="0" w:line="172" w:lineRule="exact"/>
        <w:rPr>
          <w:sz w:val="20"/>
          <w:szCs w:val="20"/>
          <w:color w:val="auto"/>
        </w:rPr>
      </w:pPr>
    </w:p>
    <w:p>
      <w:pPr>
        <w:ind w:left="660" w:right="8480" w:hanging="652"/>
        <w:spacing w:after="0" w:line="500"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COVENANT </w:t>
      </w:r>
      <w:r>
        <w:rPr>
          <w:rFonts w:ascii="Times New Roman" w:cs="Times New Roman" w:eastAsia="Times New Roman" w:hAnsi="Times New Roman"/>
          <w:sz w:val="18"/>
          <w:szCs w:val="18"/>
          <w:color w:val="auto"/>
        </w:rPr>
        <w:t>In this Agreement: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 Investment Value</w:t>
      </w:r>
      <w:r>
        <w:rPr>
          <w:rFonts w:ascii="Times New Roman" w:cs="Times New Roman" w:eastAsia="Times New Roman" w:hAnsi="Times New Roman"/>
          <w:sz w:val="18"/>
          <w:szCs w:val="18"/>
          <w:color w:val="auto"/>
        </w:rPr>
        <w:t>” means, as of any date of determination, an amount in U.S. Dollar equal to the value of:</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exercise of any Share Collateral Cure Rights, the Alvotech LTV Shares which are Alvotech LTV Shares directly held and beneficially owned by the Company;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exercise of any Share Collateral Cure Rights, the Alvotech LTV Shares and the Cure Share Collateral which are Alvotech LTV Shares or Cure Share Collateral (as applicable) directly held and beneficially owned by the Company,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as calculated by the Company as at the relevant date of determination in by reference to the volume-weighted average price of the Alvotech LTV Shares and Cure Share Collateral (as applicable) over the 10 consecutive trading days prior to the relevant date of determination.</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Alvotech LTV</w:t>
      </w:r>
      <w:r>
        <w:rPr>
          <w:rFonts w:ascii="Times New Roman" w:cs="Times New Roman" w:eastAsia="Times New Roman" w:hAnsi="Times New Roman"/>
          <w:sz w:val="18"/>
          <w:szCs w:val="18"/>
          <w:color w:val="auto"/>
        </w:rPr>
        <w:t>” means as of any date of determination, the ratio (expressed as a percentage) obtained by dividing (A) by (B), as determined by the Borrower in accordance with the LTV Calculation Template, where:</w:t>
      </w:r>
    </w:p>
    <w:p>
      <w:pPr>
        <w:spacing w:after="0" w:line="155" w:lineRule="exact"/>
        <w:rPr>
          <w:sz w:val="20"/>
          <w:szCs w:val="20"/>
          <w:color w:val="auto"/>
        </w:rPr>
      </w:pPr>
    </w:p>
    <w:p>
      <w:pPr>
        <w:ind w:left="5540" w:right="4000" w:hanging="4884"/>
        <w:spacing w:after="0" w:line="787" w:lineRule="auto"/>
        <w:tabs>
          <w:tab w:leader="none" w:pos="13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means the Outstanding Facility Amount as at any date of determination; and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means the Alvotech Investment Value as at any of date of determination.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each annual accounting period of the Group ending on the Accounting Reference Date in each year.</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Calculation Template</w:t>
      </w:r>
      <w:r>
        <w:rPr>
          <w:rFonts w:ascii="Times New Roman" w:cs="Times New Roman" w:eastAsia="Times New Roman" w:hAnsi="Times New Roman"/>
          <w:sz w:val="18"/>
          <w:szCs w:val="18"/>
          <w:color w:val="auto"/>
        </w:rPr>
        <w:t>” means the most recent template approved by the Majority Lenders under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setting out the method of calculation for the Alvotech LTV in the agreed form which shall include the agreed method (and workings out) of the calculation for the Alvotech LTV.</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LTV Cap</w:t>
      </w:r>
      <w:r>
        <w:rPr>
          <w:rFonts w:ascii="Times New Roman" w:cs="Times New Roman" w:eastAsia="Times New Roman" w:hAnsi="Times New Roman"/>
          <w:sz w:val="18"/>
          <w:szCs w:val="18"/>
          <w:color w:val="auto"/>
        </w:rPr>
        <w:t>” means Alvotech LTV not exceeding [***]%.</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Facility Amount</w:t>
      </w:r>
      <w:r>
        <w:rPr>
          <w:rFonts w:ascii="Times New Roman" w:cs="Times New Roman" w:eastAsia="Times New Roman" w:hAnsi="Times New Roman"/>
          <w:sz w:val="18"/>
          <w:szCs w:val="18"/>
          <w:color w:val="auto"/>
        </w:rPr>
        <w:t>” means, as of any date of determination, an amount in U.S. Dollar equal to the principal amount of all Loans outstanding on that day together with any interest or fees accrued but unpaid (including, without limitation, any applicable Call Price) by the Borrower under the Finance Documents up to that day.</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 or such other dates which correspond to the quarter end dates within each Financial Year.</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Period</w:t>
      </w:r>
      <w:r>
        <w:rPr>
          <w:rFonts w:ascii="Times New Roman" w:cs="Times New Roman" w:eastAsia="Times New Roman" w:hAnsi="Times New Roman"/>
          <w:sz w:val="18"/>
          <w:szCs w:val="18"/>
          <w:color w:val="auto"/>
        </w:rPr>
        <w:t>” means the period commencing on the day immediately following a Quarter Date and ending on the next occurring Quarter Date.</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each period of four consecutive Quarter Periods ending on a Quarter Date or, as applicable, in relation to any calculations made for the purpose of any Compliance Certificate only (and provided that for the testing of any incurrence permissions by reference to the Alvotech LTV, compliance with the relevant test shall be tested only against the most recently delivered Compliance Certificate) each period of twelve calendar months ending on the last day of a calendar month (which, in each case, for the avoidance of doubt may include periods prior to the Closing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b w:val="1"/>
          <w:bCs w:val="1"/>
          <w:color w:val="auto"/>
        </w:rPr>
        <w:t>LTV Financial Covenant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Borrower shall ensure that Alvotech LTV shall not exceed [***] per cent. ([***]%) at any time.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b w:val="1"/>
          <w:bCs w:val="1"/>
          <w:color w:val="auto"/>
        </w:rPr>
        <w:t>Calculations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contained in this Clause 19 shall be tested by reference to each Compliance Certificate unless the consolidated audited statements required to be delivered to the Agent pursuant to Clause 18.4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the Relevant Period or any part thereof are available on the relevant date on which any such covenant is tested, in which case such consolidated audited accounts shall be used instead.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Finance Document, at any time the Alvotech LTV is required to be or is otherwise tested pursuant to the terms of any Finance Document, such calculation shall be made in a manner consistent in all respects with the method of calculation set out in the LTV Calculation Template (with such calculations being presented in the form set out in that LTV Calculation Template) and in accordance with the definitions of Alvotech Investment Value and Alvotech LTV.</w:t>
      </w:r>
    </w:p>
    <w:p>
      <w:pPr>
        <w:spacing w:after="0" w:line="176"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in this Clause 20 shall operate from the date of this Agreement and continue for so long as any amount is outstanding under the Finance Documents or any Commitment is in force.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b w:val="1"/>
          <w:bCs w:val="1"/>
          <w:color w:val="auto"/>
        </w:rPr>
        <w:t>Authorisations and Consents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Third Party Security Provider and the Company will promptly apply for, obtain and promptly renew from time to time and maintain in full force and effect all Authorisations and consents and comply with the terms of all such Authorisations and consents, and promptly make and renew from time to time all such filings, as may be required under any applicable law or regulation to enable it to enter into, and perform its obligations under the Finance Documents to which it is party and to:</w:t>
      </w:r>
    </w:p>
    <w:p>
      <w:pPr>
        <w:spacing w:after="0" w:line="180" w:lineRule="exact"/>
        <w:rPr>
          <w:sz w:val="20"/>
          <w:szCs w:val="20"/>
          <w:color w:val="auto"/>
        </w:rPr>
      </w:pPr>
    </w:p>
    <w:p>
      <w:pPr>
        <w:jc w:val="both"/>
        <w:ind w:left="1300" w:hanging="644"/>
        <w:spacing w:after="0" w:line="261"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 transactions contemplated by the Finance Documents to which it is a party and to ensure that, subject to the Legal Reservations and Perfection Requirements, its obligations under the Finance Documents to which it is party are valid, legally binding and enforceable, and each of the Transaction Security Documents to which it is party constitutes valid security ranking, subject to the Legal Reservations and Perfection Requirements, in accordance with its terms;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its business save to the extent failure to do so would not reasonably be expected to have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b w:val="1"/>
          <w:bCs w:val="1"/>
          <w:color w:val="auto"/>
        </w:rPr>
        <w:t>Maintenance of status and authorisation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(and will ensure that each of its Subsidiaries and the Third Party Security Provider will):</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 has the right to conduct its business and will obtain and maintain all material consents and make all material filings necessary for the conduct of such business and take all steps necessary to ensure that the same are in full force and effect, save where non-compliance would not reasonably be expected to have a Material Adverse Effect;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laws and regulations binding upon it save where non-compliance would not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Third Party Security Provider and the Company will ensure that (except pursuant to a Notifiable Debt Purchase Transaction) at all times any unsecured and unguaranteed claims of a Finance Party against it under each of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its other present and future unsecured and unsubordinated creditors except creditors whose claims are mandatorily preferred by laws of general application.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7"/>
          <w:szCs w:val="17"/>
          <w:b w:val="1"/>
          <w:bCs w:val="1"/>
          <w:color w:val="auto"/>
        </w:rPr>
        <w:t>Insurances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will (and will ensure that each of its Subsidiaries will) effect and thereafter maintain at its own expense such insurances in respect of its material assets and business of an insurable nature which:</w:t>
      </w:r>
    </w:p>
    <w:p>
      <w:pPr>
        <w:spacing w:after="0" w:line="162" w:lineRule="exact"/>
        <w:rPr>
          <w:sz w:val="20"/>
          <w:szCs w:val="20"/>
          <w:color w:val="auto"/>
        </w:rPr>
      </w:pPr>
    </w:p>
    <w:p>
      <w:pPr>
        <w:ind w:left="130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cover against risks which are normally insured against by other companies in the relevant jurisdiction owning, possessing or leasing similar assets and carrying on similar businesses;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at levels usual for a business of its size and nature as may be reasonably available in the insurance market,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provided that no member of the Group shall be required to maintain any key-man life insurance or to ensure that any insurance arrangements include any loss payee endorsements or arrangements in favour of the Finance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ensure that each of its Subsidiaries will) pay and discharge all Taxes imposed upon it or any of them or any of its or their assets, income or profits, or any transactions undertaken or entered into by it or any of them within the time period allowed therefor without imposing material penalties.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change its residence for Tax purposes.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b w:val="1"/>
          <w:bCs w:val="1"/>
          <w:color w:val="auto"/>
        </w:rPr>
        <w:t>Pension Schemes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will (and will ensure that each of its Subsidiaries will) ensure that all pension schemes for the time being operated by members of the Group are fully funded to the extent required by law, where failure to do so would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(and will ensure that each of its Subsidiaries will):</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and comply with all obligations and laws to which it in its capacity as registered proprietor, beneficial owner, user, licensor or licensee of the Intellectual Property which is required to conduct the business of the Group and where failure to do so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acts as are necessary to preserve, maintain, protect and safeguard such Intellectual Property as is required to conduct the business of the Group where failure to do so would reasonably be expected to have a Material Adverse Effect and not change, terminate or discontinue the use of any of such Intellectual Property nor allow it to be infringed or used in such a way that it is put at risk by becoming generic or by being identified as disreputable if in each case to do so would reasonably be expected to have a Material Adverse Effect; and</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grant any licence to any person to use the Intellectual Property required to conduct the business of the Group if to do so would have or could be reasonably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Third Party Security Provider and the Company shall comply in all respects with all laws and regulations to which it may be subject, if failure so to comply has or could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7"/>
          <w:szCs w:val="17"/>
          <w:b w:val="1"/>
          <w:bCs w:val="1"/>
          <w:color w:val="auto"/>
        </w:rPr>
        <w:t>Environmental Undertakings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will (and will ensure that each of its Subsidiaries will) obtain, monitor and comply with the terms and conditions of all Environmental Permits and all Environmental Laws applicable to it where failure to do so would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20.10</w:t>
      </w:r>
      <w:r>
        <w:rPr>
          <w:sz w:val="20"/>
          <w:szCs w:val="20"/>
          <w:color w:val="auto"/>
        </w:rPr>
        <w:tab/>
      </w: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shall maintain in good working order and condition (ordinary wear and tear excepted) all its material assets necessary for the conduct of its business where failure to do so has or could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7"/>
          <w:szCs w:val="17"/>
          <w:b w:val="1"/>
          <w:bCs w:val="1"/>
          <w:color w:val="auto"/>
        </w:rPr>
        <w:t>Financial assistance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shall ensure that all guarantees issued by the Company under any Transaction Security Document and any Security created pursuant to any Transaction Security Document by the Company are made or created in compliance with any applicable law or regulation in any of its Relevant Jurisdictions concerning financial assistance by a company for the acquisition of or subscription for shares or concerning the protection of shareholders’ capital.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20.12</w:t>
      </w:r>
      <w:r>
        <w:rPr>
          <w:sz w:val="20"/>
          <w:szCs w:val="20"/>
          <w:color w:val="auto"/>
        </w:rPr>
        <w:tab/>
      </w:r>
      <w:r>
        <w:rPr>
          <w:rFonts w:ascii="Times New Roman" w:cs="Times New Roman" w:eastAsia="Times New Roman" w:hAnsi="Times New Roman"/>
          <w:sz w:val="17"/>
          <w:szCs w:val="17"/>
          <w:b w:val="1"/>
          <w:bCs w:val="1"/>
          <w:color w:val="auto"/>
        </w:rPr>
        <w:t>Amalgamations and Change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not (and will ensure that no member of the Group will):</w:t>
      </w:r>
    </w:p>
    <w:p>
      <w:pPr>
        <w:spacing w:after="0" w:line="225" w:lineRule="exact"/>
        <w:rPr>
          <w:sz w:val="20"/>
          <w:szCs w:val="20"/>
          <w:color w:val="auto"/>
        </w:rPr>
      </w:pPr>
    </w:p>
    <w:p>
      <w:pPr>
        <w:ind w:left="1300" w:right="2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merge, demerge or consolidate with or into any other person (including without limitation by use of a special purpose acquisition company) or undertake any corporate reorganisation or other reorganisation except for any Permitted Transaction;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change the general nature of the business of the Group taken as a whole at the date of this Agreement.</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20.13</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will not (and will procure that none of its Subsidiaries will), (whether by a single transaction or a number of related or unrelated transactions and whether at the same time, and whether voluntary or involuntary or over a period of time) sell, transfer, lease out, lend or otherwise dispose of any of its assets except pursuant to a Permitted Transaction or Permitted Disposal.</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20.14</w:t>
      </w:r>
      <w:r>
        <w:rPr>
          <w:sz w:val="20"/>
          <w:szCs w:val="20"/>
          <w:color w:val="auto"/>
        </w:rPr>
        <w:tab/>
      </w:r>
      <w:r>
        <w:rPr>
          <w:rFonts w:ascii="Times New Roman" w:cs="Times New Roman" w:eastAsia="Times New Roman" w:hAnsi="Times New Roman"/>
          <w:sz w:val="17"/>
          <w:szCs w:val="17"/>
          <w:b w:val="1"/>
          <w:bCs w:val="1"/>
          <w:color w:val="auto"/>
        </w:rPr>
        <w:t>Arm’s Length Transactions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enter into any material arrangement or transaction with an Affiliate or any member of the Restricted Group other than on an arm’s length basis (or better), save for:</w:t>
      </w:r>
    </w:p>
    <w:p>
      <w:pPr>
        <w:spacing w:after="0" w:line="162" w:lineRule="exact"/>
        <w:rPr>
          <w:sz w:val="20"/>
          <w:szCs w:val="20"/>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between members of the Group which are Permitted Loans;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or arrangement (including, without any limitation, any disposal) entered into between members of the Group;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Payment;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Transaction.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7"/>
          <w:szCs w:val="17"/>
          <w:b w:val="1"/>
          <w:bCs w:val="1"/>
          <w:color w:val="auto"/>
        </w:rPr>
        <w:t>Negative Pledge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create or permit to subsist any Security or Quasi Security on or over the whole or any part its undertaking or assets (present or future), including with respect to the Company, for the avoidance of doubt, over the Alvotech LTV Shares, the Cure Share Collateral (if any) and the Redeemable Preferred Shares, except for Permitted Security or a Permitted Transaction.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incur or permit to subsist or remain outstanding any Financial Indebtedness other than Permitted Financial Indebtedness or a Permitted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7"/>
          <w:szCs w:val="17"/>
          <w:b w:val="1"/>
          <w:bCs w:val="1"/>
          <w:color w:val="auto"/>
        </w:rPr>
        <w:t>Guarantees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grant or permit to subsist or remain outstanding any guarantee other than a Permitted Transaction or a Permitted Guarantee.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20.18</w:t>
      </w:r>
      <w:r>
        <w:rPr>
          <w:sz w:val="20"/>
          <w:szCs w:val="20"/>
          <w:color w:val="auto"/>
        </w:rPr>
        <w:tab/>
      </w:r>
      <w:r>
        <w:rPr>
          <w:rFonts w:ascii="Times New Roman" w:cs="Times New Roman" w:eastAsia="Times New Roman" w:hAnsi="Times New Roman"/>
          <w:sz w:val="17"/>
          <w:szCs w:val="17"/>
          <w:b w:val="1"/>
          <w:bCs w:val="1"/>
          <w:color w:val="auto"/>
        </w:rPr>
        <w:t>Loans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make or permit to be outstanding any loans or be a creditor in respect of any Financial Indebtedness other than Permitted Transactions and Permitted Loans.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b w:val="1"/>
          <w:bCs w:val="1"/>
          <w:color w:val="auto"/>
        </w:rPr>
        <w:t>Leasing Arrangements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except with the prior written consent of the Majority Lenders or as a Permitted Transaction, enter into or permit to subsist any Finance Lease.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7"/>
          <w:szCs w:val="17"/>
          <w:b w:val="1"/>
          <w:bCs w:val="1"/>
          <w:color w:val="auto"/>
        </w:rPr>
        <w:t>Constitutional Documents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ensure that no member of the Group will), amend, vary, novate, supplement, supersede, waive or terminate any terms of any constitutional documents of any member of the Group whose shares are the subject of Transaction Security governed by the laws of the jurisdiction of incorporation of such member of the Group, in a manner that could reasonably be expected to prejudice the validity or enforceability of the Transaction Security.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the Company shall ensure that no member of the Group will) enter into, vary, novate or supplement any agreement in any manner that restricts the sale of the Shares, grants rights to any party in respect of the proceeds from any disposal of the Shares or otherwise restricts or inhibits any transfer of the Shares (except any such restrictions arising pursuant to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7"/>
          <w:szCs w:val="17"/>
          <w:b w:val="1"/>
          <w:bCs w:val="1"/>
          <w:color w:val="auto"/>
        </w:rPr>
        <w:t>Treasury Transactions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enter into any Treasury Transaction other than any Treasury Transactions entered into in the ordinary course of business not for speculative purposes.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7"/>
          <w:szCs w:val="17"/>
          <w:b w:val="1"/>
          <w:bCs w:val="1"/>
          <w:color w:val="auto"/>
        </w:rPr>
        <w:t>Joint Ventures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will not (and will ensure that none of its Subsidiaries will) enter into, invest in, acquire or permit to subsist any Joint Venture, or transfer any assets to or lend to or give any guarantee, indemnity or Transaction Security for or on behalf of a Joint Venture, other than any transaction expressly permitted under the other terms of this Agreement other than (and provided that in the case of the transactions under paragraph (a) below, each of the relevant conditions have been complied with):</w:t>
      </w:r>
    </w:p>
    <w:p>
      <w:pPr>
        <w:spacing w:after="0" w:line="180"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share capital held by the Company in Alvotech and the Redeemable Preferred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satisfying any conditions connected thereto pursuant to the terms of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7"/>
          <w:szCs w:val="17"/>
          <w:b w:val="1"/>
          <w:bCs w:val="1"/>
          <w:color w:val="auto"/>
        </w:rPr>
        <w:t>Acquisitions and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not (and will ensure that none of its Subsidiaries will):</w:t>
      </w:r>
    </w:p>
    <w:p>
      <w:pPr>
        <w:spacing w:after="0" w:line="225" w:lineRule="exact"/>
        <w:rPr>
          <w:sz w:val="20"/>
          <w:szCs w:val="20"/>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entity, shares, securities or a business or undertaking;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any interest in any share or equity investment or equity security or make any capital contribution to any person,</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other than any Permitted Acquisition or Permitted Transaction, pursuant to a Permitted Share Issue, or to the extent such acquisition or investment falls within paragraph (a) of the definition of Permitted Holding Company Activity.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7"/>
          <w:szCs w:val="17"/>
          <w:b w:val="1"/>
          <w:bCs w:val="1"/>
          <w:color w:val="auto"/>
        </w:rPr>
        <w:t>Centre of Main Interests</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The Company shall not without the prior written consent of the Agent deliberately cause or allow its “</w:t>
      </w:r>
      <w:r>
        <w:rPr>
          <w:rFonts w:ascii="Times New Roman" w:cs="Times New Roman" w:eastAsia="Times New Roman" w:hAnsi="Times New Roman"/>
          <w:sz w:val="18"/>
          <w:szCs w:val="18"/>
          <w:b w:val="1"/>
          <w:bCs w:val="1"/>
          <w:color w:val="auto"/>
        </w:rPr>
        <w:t>centre of main interests</w:t>
      </w:r>
      <w:r>
        <w:rPr>
          <w:rFonts w:ascii="Times New Roman" w:cs="Times New Roman" w:eastAsia="Times New Roman" w:hAnsi="Times New Roman"/>
          <w:sz w:val="18"/>
          <w:szCs w:val="18"/>
          <w:color w:val="auto"/>
        </w:rPr>
        <w:t>” (as that term is used in Article 3(1) of the Regulation) to change in a manner which would materially adversely affect the Lenders.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7"/>
          <w:szCs w:val="17"/>
          <w:b w:val="1"/>
          <w:bCs w:val="1"/>
          <w:color w:val="auto"/>
        </w:rPr>
        <w:t>Control and Share Issues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shall not (and will ensure that none of its Subsidiaries will), issue any shares or grant any conditional or unconditional option, warrant or other right to call for the issue or allotment of, subscribe for, purchase or otherwise acquire any share of any member of the Group except pursuant to a Permitted Share Issue or a Permitted Transaction.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7"/>
          <w:szCs w:val="17"/>
          <w:b w:val="1"/>
          <w:bCs w:val="1"/>
          <w:color w:val="auto"/>
        </w:rPr>
        <w:t>Restriction on Redemption of Capital Contribution</w:t>
      </w:r>
    </w:p>
    <w:p>
      <w:pPr>
        <w:spacing w:after="0" w:line="229" w:lineRule="exact"/>
        <w:rPr>
          <w:sz w:val="20"/>
          <w:szCs w:val="20"/>
          <w:color w:val="auto"/>
        </w:rPr>
      </w:pPr>
    </w:p>
    <w:p>
      <w:pPr>
        <w:jc w:val="both"/>
        <w:ind w:left="660" w:firstLine="9"/>
        <w:spacing w:after="0" w:line="261" w:lineRule="auto"/>
        <w:rPr>
          <w:sz w:val="20"/>
          <w:szCs w:val="20"/>
          <w:color w:val="auto"/>
        </w:rPr>
      </w:pPr>
      <w:r>
        <w:rPr>
          <w:rFonts w:ascii="Times New Roman" w:cs="Times New Roman" w:eastAsia="Times New Roman" w:hAnsi="Times New Roman"/>
          <w:sz w:val="18"/>
          <w:szCs w:val="18"/>
          <w:color w:val="auto"/>
        </w:rPr>
        <w:t>The Company shall not (and will procure that none of its Subsidiaries will), directly or indirectly redeem, purchase, retire or otherwise withdraw any capital contributions made to the capital reserves, convert such capital contributions into shareholder loans or redeem, purchase, retire, repay or otherwise acquire for consideration any shares or warrants issued by it or set apart any sum for any such purpose or otherwise reduce its capital (together, a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except where such Redemption:</w:t>
      </w:r>
    </w:p>
    <w:p>
      <w:pPr>
        <w:spacing w:after="0" w:line="180" w:lineRule="exact"/>
        <w:rPr>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by a Subsidiary of the Company to its direct shareholders;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Permitted Payment;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Permitted Transaction.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20.27</w:t>
      </w:r>
      <w:r>
        <w:rPr>
          <w:sz w:val="20"/>
          <w:szCs w:val="20"/>
          <w:color w:val="auto"/>
        </w:rPr>
        <w:tab/>
      </w:r>
      <w:r>
        <w:rPr>
          <w:rFonts w:ascii="Times New Roman" w:cs="Times New Roman" w:eastAsia="Times New Roman" w:hAnsi="Times New Roman"/>
          <w:sz w:val="17"/>
          <w:szCs w:val="17"/>
          <w:b w:val="1"/>
          <w:bCs w:val="1"/>
          <w:color w:val="auto"/>
        </w:rPr>
        <w:t>Restriction on Payment of Dividends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shall not (and will ensure that none of its Subsidiaries will), declare or pay, directly or indirectly, any dividends or make any other distribution or pay any interest or other amounts, whether in cash or otherwise, on or in respect of its share capital or any class of its share capital (together a “</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until the Facilities have been repaid in full except, (i) payment of a Dividend by a Subsidiary of the Borrower to its direct shareholders either pro rata to their shareholdings or to members of the Group, (ii) a Permitted Payment, and (iii) payments as a result of a Permitted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20.28</w:t>
      </w:r>
      <w:r>
        <w:rPr>
          <w:sz w:val="20"/>
          <w:szCs w:val="20"/>
          <w:color w:val="auto"/>
        </w:rPr>
        <w:tab/>
      </w:r>
      <w:r>
        <w:rPr>
          <w:rFonts w:ascii="Times New Roman" w:cs="Times New Roman" w:eastAsia="Times New Roman" w:hAnsi="Times New Roman"/>
          <w:sz w:val="17"/>
          <w:szCs w:val="17"/>
          <w:b w:val="1"/>
          <w:bCs w:val="1"/>
          <w:color w:val="auto"/>
        </w:rPr>
        <w:t>Permitted Payments</w:t>
      </w:r>
    </w:p>
    <w:p>
      <w:pPr>
        <w:spacing w:after="0" w:line="229" w:lineRule="exact"/>
        <w:rPr>
          <w:sz w:val="20"/>
          <w:szCs w:val="20"/>
          <w:color w:val="auto"/>
        </w:rPr>
      </w:pPr>
    </w:p>
    <w:p>
      <w:pPr>
        <w:ind w:left="1300" w:right="320" w:hanging="644"/>
        <w:spacing w:after="0" w:line="282"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paragraph (b) below, the Company shall not (and will ensure that no other member of the Restricted Group will);</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repay or prepay any principal, interest, fee, charge or other amount on or in respect of, or redeem, purchase or defease, any Shareholder Loans or any other amount owing to a Restricted Person;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discharge, exchange or enter into any sub-participation arrangements in respect of any amount outstanding under any Shareholder Loans or any other amount owing to a Restricted Person;</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make or pay any dividend, charge, fee or other distribution (whether in cash or in kind) on or in respect of its share capital in favour of a Restricted Person;</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 in, or pay any fee or commission (including any management or advisory fee) or make any advance or other kind of payment to, or to the order of, a Restricted Person;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which imposes an obligation on any member of the Group in favour of a Restricted Person or an Investor Affiliate, other than Shareholder Loans.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Transaction;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Payment.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20.29</w:t>
      </w:r>
      <w:r>
        <w:rPr>
          <w:sz w:val="20"/>
          <w:szCs w:val="20"/>
          <w:color w:val="auto"/>
        </w:rPr>
        <w:tab/>
      </w:r>
      <w:r>
        <w:rPr>
          <w:rFonts w:ascii="Times New Roman" w:cs="Times New Roman" w:eastAsia="Times New Roman" w:hAnsi="Times New Roman"/>
          <w:sz w:val="18"/>
          <w:szCs w:val="18"/>
          <w:b w:val="1"/>
          <w:bCs w:val="1"/>
          <w:color w:val="auto"/>
        </w:rPr>
        <w:t>Holding Company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Third Party Security Provider and the Company will not, carry on any business, own any assets or incur any liabilities or grant any Security except for a Permitted Holding Company Activity.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20.30</w:t>
      </w:r>
      <w:r>
        <w:rPr>
          <w:sz w:val="20"/>
          <w:szCs w:val="20"/>
          <w:color w:val="auto"/>
        </w:rPr>
        <w:tab/>
      </w:r>
      <w:r>
        <w:rPr>
          <w:rFonts w:ascii="Times New Roman" w:cs="Times New Roman" w:eastAsia="Times New Roman" w:hAnsi="Times New Roman"/>
          <w:sz w:val="17"/>
          <w:szCs w:val="17"/>
          <w:b w:val="1"/>
          <w:bCs w:val="1"/>
          <w:color w:val="auto"/>
        </w:rPr>
        <w:t>Restricted Group</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procure that no member of the Restricted Group shall enter into a Material Transaction unless it is a Permitted Material Transaction (and, for the avoidance of doubt, provided that all conditions set out in the definition thereof have been complied with).</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pagraph (c) below, the Company shall:</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notify the Agent in writing promptly (and in any event within five</w:t>
      </w:r>
    </w:p>
    <w:p>
      <w:pPr>
        <w:spacing w:after="0" w:line="29"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 upon becoming aware of any transaction proposed to be entered into by a member of the Restricted Group (including without limitation acquisitions, investments, Joint Ventures, Disposals or any other arrangement having a similar effect) which is:</w:t>
      </w:r>
    </w:p>
    <w:p>
      <w:pPr>
        <w:spacing w:after="0" w:line="213" w:lineRule="exact"/>
        <w:rPr>
          <w:sz w:val="20"/>
          <w:szCs w:val="20"/>
          <w:color w:val="auto"/>
        </w:rPr>
      </w:pPr>
    </w:p>
    <w:p>
      <w:pPr>
        <w:jc w:val="both"/>
        <w:ind w:left="2600" w:hanging="648"/>
        <w:spacing w:after="0" w:line="266" w:lineRule="auto"/>
        <w:tabs>
          <w:tab w:leader="none" w:pos="26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Transaction and is reasonably likely to cause or result in a breach of the Alvotech LTV financial covenants when tested in accordance with paragraph (b)(ii) of the definition of Permitted Material Transaction or otherwise to cause the occurrence of a Default; and/or</w:t>
      </w:r>
    </w:p>
    <w:p>
      <w:pPr>
        <w:spacing w:after="0" w:line="202"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 be entered into on terms which would not be on arm’s length terms (or better) and below fair market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ind w:left="130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Relevant Restricted Group Transaction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4" w:hanging="656"/>
        <w:spacing w:after="0" w:line="257" w:lineRule="auto"/>
        <w:tabs>
          <w:tab w:leader="none" w:pos="130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18.12 (</w:t>
      </w:r>
      <w:r>
        <w:rPr>
          <w:rFonts w:ascii="Times New Roman" w:cs="Times New Roman" w:eastAsia="Times New Roman" w:hAnsi="Times New Roman"/>
          <w:sz w:val="18"/>
          <w:szCs w:val="18"/>
          <w:i w:val="1"/>
          <w:iCs w:val="1"/>
          <w:color w:val="auto"/>
        </w:rPr>
        <w:t>Public Lender Information</w:t>
      </w:r>
      <w:r>
        <w:rPr>
          <w:rFonts w:ascii="Times New Roman" w:cs="Times New Roman" w:eastAsia="Times New Roman" w:hAnsi="Times New Roman"/>
          <w:sz w:val="18"/>
          <w:szCs w:val="18"/>
          <w:color w:val="auto"/>
        </w:rPr>
        <w:t>), promptly on any date an LTV Certificate is delivered to the Agent in accordance with paragraph (b) of the definition of Permitted Material Transaction deliver all information made available to it or in its possession connected to that Relevant Restricted Group Transaction to the Agent (which the Agent shall promptly forward to the Lenders) and any other information the Agent may request (acting on the instructions of the Lenders, acting reasonably), in each case subject to any bona fide confidentiality requirements to which the Company is subject to and which has been entered into in good faith by such relevant entity;</w:t>
      </w:r>
    </w:p>
    <w:p>
      <w:pPr>
        <w:spacing w:after="0" w:line="21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in good faith) keep the Lenders regularly updated in connection with all reasonable details of such transaction; and</w:t>
      </w:r>
    </w:p>
    <w:p>
      <w:pPr>
        <w:spacing w:after="0" w:line="252"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notify the Agent in writing (which the Agent shall promptly forward to the Lenders) if it or any other person (to its knowledge) intends to or does exercise any rights, remedies, powers or discretions available to them under any constitutional documents, shareholders’ agreement, investment agreement or other similar contractual arrangements (the “</w:t>
      </w:r>
      <w:r>
        <w:rPr>
          <w:rFonts w:ascii="Times New Roman" w:cs="Times New Roman" w:eastAsia="Times New Roman" w:hAnsi="Times New Roman"/>
          <w:sz w:val="18"/>
          <w:szCs w:val="18"/>
          <w:b w:val="1"/>
          <w:bCs w:val="1"/>
          <w:color w:val="auto"/>
        </w:rPr>
        <w:t>Restricted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vote in favour of that Relevant Restricted Group Transaction, in each case subject to any bona fide 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to which the Company is subject to and which has been entered into in good faith by such relevant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Sub-paragraph (ii), (iii) and (iv) of paragraph (b) above shall not apply to any Permitted Material Transaction where compliance with such provisions would, in the Company’s reasonable opinion acting in good faith, constitute disclosure of MNPI and/or is reasonably likely to cause or result in a breach of fiduciary duties, confidentiality obligations, securities laws, market abuse rules or stock exchange requirements by the Company or its representatives in the board of directors or equivalent body, as applicable, of Alvotech.</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82" w:lineRule="auto"/>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agree to amend, vary, novate, supplement, supersede, waive or terminate any of its Restricted Group Rights, in each case, in a manner which could be reasonably expected to adversely affect the interests of the Lenders under the Finance Documents.</w:t>
      </w:r>
    </w:p>
    <w:p>
      <w:pPr>
        <w:spacing w:after="0" w:line="159"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Cure Rights in Clause 21.2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the Company shall ensure that, following the occurrence of an LTV Snap Test Event, the Alvotech LTV shall not exceed the LTV Cap (the “</w:t>
      </w:r>
      <w:r>
        <w:rPr>
          <w:rFonts w:ascii="Times New Roman" w:cs="Times New Roman" w:eastAsia="Times New Roman" w:hAnsi="Times New Roman"/>
          <w:sz w:val="18"/>
          <w:szCs w:val="18"/>
          <w:b w:val="1"/>
          <w:bCs w:val="1"/>
          <w:color w:val="auto"/>
        </w:rPr>
        <w:t>LTV Snap Test</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(g) below, the Company shall promptly upon the occurrence of an LTV Snap Test Event set out in paragraph (a) certify in an LTV Certificate to the Agent in writing that:</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under the Finance Documents;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the relevant LTV Certificate, giving reasonable details of the calculations thereof, the LTV Snap Test is complied with, provided that such LTV Certificate shall be prepared in an equivalent manner consistent with and subject to equivalent requirements as applied in Clause 18.5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and Clause 19.3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and for the avoidance of doubt, regardless of whether such certification is provided or not, the Alvotech LTV shall not exceed the LTV Cap at any time and the occurrence of such circumstance whether or not so certified shall constitute a breach.</w:t>
      </w:r>
    </w:p>
    <w:p>
      <w:pPr>
        <w:spacing w:after="0" w:line="162" w:lineRule="exact"/>
        <w:rPr>
          <w:sz w:val="20"/>
          <w:szCs w:val="20"/>
          <w:color w:val="auto"/>
        </w:rPr>
      </w:pPr>
    </w:p>
    <w:p>
      <w:pPr>
        <w:ind w:left="644" w:hanging="644"/>
        <w:spacing w:after="0" w:line="282" w:lineRule="auto"/>
        <w:tabs>
          <w:tab w:leader="none" w:pos="6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(f) above, the Company shall promptly upon the occurrence of an LTV Snap Test Event set out in paragraph (b) certify in an LTV Certificate to the Agent in writing that:</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under the Finance Documents;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the relevant LTV Certificate, giving reasonable details of the calculations thereof, the LTV Snap Test is complied with, provided that such LTV Certificate shall be prepared in an equivalent manner consistent with and subject to equivalent requirements as applied in Clause 18.5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and Clause 19.3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and for the avoidance of doubt, regardless of whether such certification is provided or not, the Alvotech LTV shall not exceed the LTV Cap at any time and the occurrence of such circumstance whether or not so certified shall constitute a breach.</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85" w:name="page86"/>
    <w:bookmarkEnd w:id="8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20.31</w:t>
      </w:r>
      <w:r>
        <w:rPr>
          <w:sz w:val="20"/>
          <w:szCs w:val="20"/>
          <w:color w:val="auto"/>
        </w:rPr>
        <w:tab/>
      </w:r>
      <w:r>
        <w:rPr>
          <w:rFonts w:ascii="Times New Roman" w:cs="Times New Roman" w:eastAsia="Times New Roman" w:hAnsi="Times New Roman"/>
          <w:sz w:val="17"/>
          <w:szCs w:val="17"/>
          <w:b w:val="1"/>
          <w:bCs w:val="1"/>
          <w:color w:val="auto"/>
        </w:rPr>
        <w:t>Guarantees and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not:</w:t>
      </w:r>
    </w:p>
    <w:p>
      <w:pPr>
        <w:spacing w:after="0" w:line="225" w:lineRule="exact"/>
        <w:rPr>
          <w:sz w:val="20"/>
          <w:szCs w:val="20"/>
          <w:color w:val="auto"/>
        </w:rPr>
      </w:pPr>
    </w:p>
    <w:p>
      <w:pPr>
        <w:ind w:left="1300" w:hanging="644"/>
        <w:spacing w:after="0" w:line="282" w:lineRule="auto"/>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knowingly or negligently omit to take, any action which act or omission could reasonably be expected to, or would have the result of, impairing the Transaction Security or any guarantee under the Finance Documents;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person other than the Security Agent any interest in the Transaction Security.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20.32</w:t>
      </w:r>
      <w:r>
        <w:rPr>
          <w:sz w:val="20"/>
          <w:szCs w:val="20"/>
          <w:color w:val="auto"/>
        </w:rPr>
        <w:tab/>
      </w:r>
      <w:r>
        <w:rPr>
          <w:rFonts w:ascii="Times New Roman" w:cs="Times New Roman" w:eastAsia="Times New Roman" w:hAnsi="Times New Roman"/>
          <w:sz w:val="18"/>
          <w:szCs w:val="18"/>
          <w:b w:val="1"/>
          <w:bCs w:val="1"/>
          <w:color w:val="auto"/>
        </w:rPr>
        <w:t>Further Assurance</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ensure that each member of the Group and the Third Party Security Provider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the Security created or intended to be created under or evidenced by the Transaction Security Documents (which may include the execution of a mortgage, charge, assignment or other Security over all or any of the assets which are, or are intended to be, the subject of the Transaction Security) or for the exercise of any rights, powers and remedies of the Security Agent or the Finance Parties provided by or pursuant to the Finance Documents or by law;</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confer on the Security Agent or confer on the Finance Parties, Security over any property and assets of the Company or the Third Party Security Provider located in any jurisdiction equivalent or similar to the Security intended to be conferred by or pursuant to the Transaction Security Documents; and/or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realisation of the assets which are, or are intended to be, the subject of the Transaction Security.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ensure that each member of the Group and the Third Party Security Provider will) take all such action as is available to it (including making all filings and registrations) as may be necessary for the purpose of the creation, perfection, protection or maintenance of any Security conferred or intended to be conferred on the Security Agent or the Finance Parties by or pursuant to the Finance Documents.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provision of this Agreement which requires the Company, the Third Party Security Provider, or any member of the Group to deliver any document for the purposes of granting any guarantee or Security for the benefit of all or any of the Finance Parties, the Security Agent agrees to execute as soon as reasonably practicable any such agreed form document which is presented to it for execution.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20.33</w:t>
      </w:r>
      <w:r>
        <w:rPr>
          <w:sz w:val="20"/>
          <w:szCs w:val="20"/>
          <w:color w:val="auto"/>
        </w:rPr>
        <w:tab/>
      </w:r>
      <w:r>
        <w:rPr>
          <w:rFonts w:ascii="Times New Roman" w:cs="Times New Roman" w:eastAsia="Times New Roman" w:hAnsi="Times New Roman"/>
          <w:sz w:val="18"/>
          <w:szCs w:val="18"/>
          <w:b w:val="1"/>
          <w:bCs w:val="1"/>
          <w:color w:val="auto"/>
        </w:rPr>
        <w:t>Anti-corruption law/Sanctions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ensure that each other member of the Group will):</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with applicable anti-corruption and anti-money laundering laws, regulations and rules;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prudent policies and procedures designed to promote and achieve compliance with such laws, regulations and rules.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procure that no member of the Group nor their respective directors, officers and employees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or otherwise make available all or any part of the proceeds of the Facilities, directly or indirectly, to, or for the benefit of, any person (whether or not related to any member of the Group) for the purpose of:</w:t>
      </w:r>
    </w:p>
    <w:p>
      <w:pPr>
        <w:spacing w:after="0" w:line="161" w:lineRule="exact"/>
        <w:rPr>
          <w:rFonts w:ascii="Times New Roman" w:cs="Times New Roman" w:eastAsia="Times New Roman" w:hAnsi="Times New Roman"/>
          <w:sz w:val="18"/>
          <w:szCs w:val="18"/>
          <w:color w:val="auto"/>
        </w:rPr>
      </w:pPr>
    </w:p>
    <w:p>
      <w:pPr>
        <w:ind w:left="2600" w:right="100" w:hanging="648"/>
        <w:spacing w:after="0" w:line="282" w:lineRule="auto"/>
        <w:tabs>
          <w:tab w:leader="none" w:pos="260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financing or facilitating the activities or business of, other transactions with, or investments in, any Restricted Party;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is a breach of Sanctions;</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fund all or part of any repayment or prepayment of the Facilities out of proceeds derived from any transaction with or action involving a Restricted Party;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engage in any transaction, activity or conduct that would violate Sanctions, that would cause any Finance Party to be in breach of any Sanctions applicable to any party hereto or that could reasonably be expected to result in it or any other member of the Group or any Finance Party being designated as a Restricted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other than an action which is a Permitted Sanction Action.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20.34</w:t>
      </w:r>
      <w:r>
        <w:rPr>
          <w:sz w:val="20"/>
          <w:szCs w:val="20"/>
          <w:color w:val="auto"/>
        </w:rPr>
        <w:tab/>
      </w:r>
      <w:r>
        <w:rPr>
          <w:rFonts w:ascii="Times New Roman" w:cs="Times New Roman" w:eastAsia="Times New Roman" w:hAnsi="Times New Roman"/>
          <w:sz w:val="17"/>
          <w:szCs w:val="17"/>
          <w:b w:val="1"/>
          <w:bCs w:val="1"/>
          <w:color w:val="auto"/>
        </w:rPr>
        <w:t>Constitutional Documents and Listing</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Third Party Security Provider shall amend, vary, novate, supplement, supersede, waive or terminate any Constitutional Documents or any shareholders agreements (or similar agreements) applicable to it, in each case, in a manner which could be reasonably expected to adversely affect the interests of the Lenders under the Finance Documents.</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Third Party Security Provider and the Company shall comply in all respects with the terms of any Constitutional Documents or any shareholders agreements or similar agreements to which it is a party (save where failure to do so could not be reasonably expected to adversely affect the interests of the Lenders under the Finance Documents).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Alvotech maintains the current listing of the Shares on NASDAQ, NASDAQ Stockholm and NASDAQ Iceland at all times while any amount is outstanding under the Finance Documents or any Commitment is in force.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ind w:left="1300" w:hanging="64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direct shareholding in Alvotech to equal to or exceed 33 1/3% of the Shares in Alvotech at any time;</w:t>
      </w:r>
    </w:p>
    <w:p>
      <w:pPr>
        <w:spacing w:after="0" w:line="252"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concert (as such term is interpreted from time to time by the Luxembourg Commission de Surveillance du Sector Financier for the purposes of the Takeover Law) with any other direct or indirect holder of the Shares in any manner that would trigger a mandatory takeover offer to be made or required to be made by the Borrower (either alone or together with any other persons) under the Takeover Law in respect of Alvotech at any time; and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procure that Celtic Holdings S.C.A. and any other entity does not become a “controlled undertaking” of the Borrower under any applicable law in any manner that would trigger a mandatory takeover offer to be made or required to be made by the Borrower (either alone or together with any other persons) under the Takeover Law in respect of Alvotech,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without the prior written consent of all of the Lenders.</w:t>
      </w:r>
    </w:p>
    <w:p>
      <w:pPr>
        <w:spacing w:after="0" w:line="225" w:lineRule="exact"/>
        <w:rPr>
          <w:sz w:val="20"/>
          <w:szCs w:val="20"/>
          <w:color w:val="auto"/>
        </w:rPr>
      </w:pPr>
    </w:p>
    <w:p>
      <w:pPr>
        <w:ind w:left="1300" w:right="20" w:hanging="644"/>
        <w:spacing w:after="0" w:line="282"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the IRA is not revoked, rescinded or otherwise modified, varied, supplemented or terminated in any manner that could reasonably be expected to be materially adverse to the Lenders without the prior consent of the Majority Lenders.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20.35</w:t>
      </w:r>
      <w:r>
        <w:rPr>
          <w:sz w:val="20"/>
          <w:szCs w:val="20"/>
          <w:color w:val="auto"/>
        </w:rPr>
        <w:tab/>
      </w:r>
      <w:r>
        <w:rPr>
          <w:rFonts w:ascii="Times New Roman" w:cs="Times New Roman" w:eastAsia="Times New Roman" w:hAnsi="Times New Roman"/>
          <w:sz w:val="17"/>
          <w:szCs w:val="17"/>
          <w:b w:val="1"/>
          <w:bCs w:val="1"/>
          <w:color w:val="auto"/>
        </w:rPr>
        <w:t>Redeemable Preferred Shares and the Earn-Out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procure that the Redeemable Preferred Shares Documents are not revoked, rescinded or otherwise modified, varied, supplemented or terminated in a manner that could reasonably be expected to prejudice the validity or enforceability of the Transaction Security or could otherwise be reasonably expected to be materially adverse to the Lenders without the prior consent of the Majority Lenders.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vary, novate or supplement any agreement in any manner that restricts the sale of the Redeemable Preferred Shares, grants rights to any party in respect of the proceeds from any disposal of the Redeemable Preferred Shares or otherwise restricts or inhibits any transfer of the Redeemable Preferred Shares (except any such restrictions arising pursuant to the Finance Documents).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in all material respects with the terms of the Redeemable Preferred Shares Documents.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take all such steps as are reasonable to enforce all its rights in respect of the Redeemable Preferred Shares, the Earn-Out and its rights under the Redeemable Preferred Shares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20.36</w:t>
      </w:r>
      <w:r>
        <w:rPr>
          <w:sz w:val="20"/>
          <w:szCs w:val="20"/>
          <w:color w:val="auto"/>
        </w:rPr>
        <w:tab/>
      </w:r>
      <w:r>
        <w:rPr>
          <w:rFonts w:ascii="Times New Roman" w:cs="Times New Roman" w:eastAsia="Times New Roman" w:hAnsi="Times New Roman"/>
          <w:sz w:val="17"/>
          <w:szCs w:val="17"/>
          <w:b w:val="1"/>
          <w:bCs w:val="1"/>
          <w:color w:val="auto"/>
        </w:rPr>
        <w:t>Bank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not have any bank accounts unless they are secured by the Transaction Security.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20.37</w:t>
      </w:r>
      <w:r>
        <w:rPr>
          <w:sz w:val="20"/>
          <w:szCs w:val="20"/>
          <w:color w:val="auto"/>
        </w:rPr>
        <w:tab/>
      </w:r>
      <w:r>
        <w:rPr>
          <w:rFonts w:ascii="Times New Roman" w:cs="Times New Roman" w:eastAsia="Times New Roman" w:hAnsi="Times New Roman"/>
          <w:sz w:val="17"/>
          <w:szCs w:val="17"/>
          <w:b w:val="1"/>
          <w:bCs w:val="1"/>
          <w:color w:val="auto"/>
        </w:rPr>
        <w:t>Limitation on Short Circuit Payments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Borrower shall ensure that any equity subscription or contribution provided by any of its direct or indirect shareholder (including by way of subscription of shares or capital contribution) or a quasi-equity contribution in the form of a shareholder loan, note or other equivalent debt instrument to be made to a member of the Group or the Restricted Group shall be made to the Third Party Security Provider and then from the Third Party Security Provider to the Company, and then, to the extent to be made available to another member of the Restricted Group, subsequently down-streamed from the Borrower to the relevant member of the Restricted Group, respectively and in that order.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20.38</w:t>
      </w:r>
      <w:r>
        <w:rPr>
          <w:sz w:val="20"/>
          <w:szCs w:val="20"/>
          <w:color w:val="auto"/>
        </w:rPr>
        <w:tab/>
      </w:r>
      <w:r>
        <w:rPr>
          <w:rFonts w:ascii="Times New Roman" w:cs="Times New Roman" w:eastAsia="Times New Roman" w:hAnsi="Times New Roman"/>
          <w:sz w:val="18"/>
          <w:szCs w:val="18"/>
          <w:b w:val="1"/>
          <w:bCs w:val="1"/>
          <w:color w:val="auto"/>
        </w:rPr>
        <w:t>Conditions Subsequent</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terms of Clause 20.32 (</w:t>
      </w:r>
      <w:r>
        <w:rPr>
          <w:rFonts w:ascii="Times New Roman" w:cs="Times New Roman" w:eastAsia="Times New Roman" w:hAnsi="Times New Roman"/>
          <w:sz w:val="18"/>
          <w:szCs w:val="18"/>
          <w:i w:val="1"/>
          <w:iCs w:val="1"/>
          <w:color w:val="auto"/>
        </w:rPr>
        <w:t>Further Assurance</w:t>
      </w:r>
      <w:r>
        <w:rPr>
          <w:rFonts w:ascii="Times New Roman" w:cs="Times New Roman" w:eastAsia="Times New Roman" w:hAnsi="Times New Roman"/>
          <w:sz w:val="18"/>
          <w:szCs w:val="18"/>
          <w:color w:val="auto"/>
        </w:rPr>
        <w:t>), the Third Party Security Provider and the Company shall ensure the Perfection Requirements set out in each Transaction Security Document are complied with promptly, other than any perfection steps that are administrative in nature and entirely within the control of the Lender and/or their legal counsel.</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all necessary disclosures, notifications or filings that are required to be made for the purposes of US federal or state securities laws (including, without limitation, under the US Securities Act of 1933, as amended and the US Securities Exchange Act of 1934, as amended) in connection with the Transaction and/or any Finance Document (including, without limitation, any such disclosure, notification or filing the details of which have been delivered to each Original Lender pursuant to paragraph 6(j)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and Evidence</w:t>
      </w:r>
      <w:r>
        <w:rPr>
          <w:rFonts w:ascii="Times New Roman" w:cs="Times New Roman" w:eastAsia="Times New Roman" w:hAnsi="Times New Roman"/>
          <w:sz w:val="18"/>
          <w:szCs w:val="18"/>
          <w:color w:val="auto"/>
        </w:rPr>
        <w:t>) of Schedule 2 (</w:t>
      </w:r>
      <w:r>
        <w:rPr>
          <w:rFonts w:ascii="Times New Roman" w:cs="Times New Roman" w:eastAsia="Times New Roman" w:hAnsi="Times New Roman"/>
          <w:sz w:val="18"/>
          <w:szCs w:val="18"/>
          <w:i w:val="1"/>
          <w:iCs w:val="1"/>
          <w:color w:val="auto"/>
        </w:rPr>
        <w:t>Conditions Precedent to Utilisation</w:t>
      </w:r>
      <w:r>
        <w:rPr>
          <w:rFonts w:ascii="Times New Roman" w:cs="Times New Roman" w:eastAsia="Times New Roman" w:hAnsi="Times New Roman"/>
          <w:sz w:val="18"/>
          <w:szCs w:val="18"/>
          <w:color w:val="auto"/>
        </w:rPr>
        <w:t>), in each case, within the applicable time periods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any such disclosures, notifications or filings.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20.39</w:t>
      </w:r>
      <w:r>
        <w:rPr>
          <w:sz w:val="20"/>
          <w:szCs w:val="20"/>
          <w:color w:val="auto"/>
        </w:rPr>
        <w:tab/>
      </w:r>
      <w:r>
        <w:rPr>
          <w:rFonts w:ascii="Times New Roman" w:cs="Times New Roman" w:eastAsia="Times New Roman" w:hAnsi="Times New Roman"/>
          <w:sz w:val="17"/>
          <w:szCs w:val="17"/>
          <w:b w:val="1"/>
          <w:bCs w:val="1"/>
          <w:color w:val="auto"/>
        </w:rPr>
        <w:t>Synthetic Exposure</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shall not (and will ensure that none of its Subsidiaries shall), directly or indirectly, acquire, hold, create, assume or otherwise enter into or obtain any economic, synthetic derivative or other exposure (whether long, short or otherwise) to any equity securities, equity interests or publicly traded shares of any person (including the Shares) and including, without limitation, by way of total return swap, contracts for difference (CFDs), equity swaps, portfolio swaps containing equity securities, call options, put options and collars, forwards and futures referencing equity securities or equity indices, warrants, rights or similar instruments, spread betting arrangements or similar economic wagering arrangements, structured notes, certificates or other structured products linked to the performance of equity securities or equity indices, exchange-traded funds (ETFs), mutual funds, investment funds or similar collective investment vehicles, participations, back-to-back arrangements, funded or unfunded derivatives, synthetic prime brokerage arrangements or similar structures, any securities lending, repo, margin financing or other transaction entered into for the purpose of obtaining economic exposure to equity securities and any other arrangement, whether documented as a derivative, financing transaction, investment product or otherwise, the economic effect of which is substantially to hold, dispose of, increase or decrease exposure to any equity securities or publicly traded shares.</w:t>
      </w:r>
    </w:p>
    <w:p>
      <w:pPr>
        <w:spacing w:after="0" w:line="188"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events or circumstances set out in this Clause 21 (save for Clause 21.18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shall constitute an Event of Default.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Payment Default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Third Party Security Provider or the Company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300" w:hanging="644"/>
        <w:spacing w:after="0" w:line="282"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principal, interest and any applicable Call Price, such non-payment is made within three (3) Business Days of its due date; or</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amount, payment is made within five (5) Business Days of the due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color w:val="auto"/>
        </w:rPr>
        <w:t>Financial covenant</w:t>
      </w:r>
    </w:p>
    <w:p>
      <w:pPr>
        <w:spacing w:after="0" w:line="229" w:lineRule="exact"/>
        <w:rPr>
          <w:sz w:val="20"/>
          <w:szCs w:val="20"/>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w:t>
      </w:r>
    </w:p>
    <w:p>
      <w:pPr>
        <w:spacing w:after="0" w:line="250"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covenant set out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is not complied with (as evidenced by a Compliance Certificate); or</w:t>
      </w:r>
    </w:p>
    <w:p>
      <w:pPr>
        <w:spacing w:after="0" w:line="158"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LTV Snap Test set out in sub-paragraph (e)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is not complied with (as evidenced by the relevant LTV Certificate).</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Certificate or LTV Certificate is not delivered when required in accordance with Clause 18.5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or paragraph (e)(ii)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provided that no Event of Default shall occur under this paragraph if such failure to comply is remedied within ten (10) Business Days of the date on which such Compliance Certificate or LTV Certificate was due to be delivered.</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paragraph (a) above if:</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as applicable, (A) the date that the Compliance Certificate for the Relevant Period in which such failure to comply was first evidenced are due to be delivered in accordance with Clause 18.5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CC Due Date</w:t>
      </w:r>
      <w:r>
        <w:rPr>
          <w:rFonts w:ascii="Times New Roman" w:cs="Times New Roman" w:eastAsia="Times New Roman" w:hAnsi="Times New Roman"/>
          <w:sz w:val="18"/>
          <w:szCs w:val="18"/>
          <w:color w:val="auto"/>
        </w:rPr>
        <w:t>”) or (B) the date that the relevant LTV Certificate in which such failure to comply was first evidenced is due to be delivered in accordance with paragraph (e) of Clause 20.30 (</w:t>
      </w:r>
      <w:r>
        <w:rPr>
          <w:rFonts w:ascii="Times New Roman" w:cs="Times New Roman" w:eastAsia="Times New Roman" w:hAnsi="Times New Roman"/>
          <w:sz w:val="18"/>
          <w:szCs w:val="18"/>
          <w:i w:val="1"/>
          <w:iCs w:val="1"/>
          <w:color w:val="auto"/>
        </w:rPr>
        <w:t>Restricted Group</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Snap LTV Due Date</w:t>
      </w:r>
      <w:r>
        <w:rPr>
          <w:rFonts w:ascii="Times New Roman" w:cs="Times New Roman" w:eastAsia="Times New Roman" w:hAnsi="Times New Roman"/>
          <w:sz w:val="18"/>
          <w:szCs w:val="18"/>
          <w:color w:val="auto"/>
        </w:rPr>
        <w:t>”), the Borrower notifies the Agent in writing of its intention to exercise its Prepayment Cure Rights or its Collateral Cure Rights (each such terms as defined below); and</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20 Business Day after the CC Due Date or the Snap LTV Due Date, as applicable, the Company:</w:t>
      </w:r>
    </w:p>
    <w:p>
      <w:pPr>
        <w:spacing w:after="0" w:line="223"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prepays the Facility (together with any applicable Call Price) in accordance with Clause 7.3 (</w:t>
      </w:r>
      <w:r>
        <w:rPr>
          <w:rFonts w:ascii="Times New Roman" w:cs="Times New Roman" w:eastAsia="Times New Roman" w:hAnsi="Times New Roman"/>
          <w:sz w:val="18"/>
          <w:szCs w:val="18"/>
          <w:i w:val="1"/>
          <w:iCs w:val="1"/>
          <w:color w:val="auto"/>
        </w:rPr>
        <w:t>Voluntary prepayment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Facility B Loan) </w:t>
      </w:r>
      <w:r>
        <w:rPr>
          <w:rFonts w:ascii="Times New Roman" w:cs="Times New Roman" w:eastAsia="Times New Roman" w:hAnsi="Times New Roman"/>
          <w:sz w:val="18"/>
          <w:szCs w:val="18"/>
          <w:color w:val="auto"/>
        </w:rPr>
        <w:t>(which may be made on the same date and without regard to the minimum amount and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specified therein) in an amount at least sufficient to ensure that the financial covenant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would be complied with (the “</w:t>
      </w:r>
      <w:r>
        <w:rPr>
          <w:rFonts w:ascii="Times New Roman" w:cs="Times New Roman" w:eastAsia="Times New Roman" w:hAnsi="Times New Roman"/>
          <w:sz w:val="18"/>
          <w:szCs w:val="18"/>
          <w:b w:val="1"/>
          <w:bCs w:val="1"/>
          <w:color w:val="auto"/>
        </w:rPr>
        <w:t>Prepayment Cure Rights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ind w:left="2600" w:hanging="648"/>
        <w:spacing w:after="0" w:line="256" w:lineRule="auto"/>
        <w:tabs>
          <w:tab w:leader="none" w:pos="2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Cash Collateral into the Collateral Account in an amount at least sufficient to ensure that that the financial covenant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would be complied with if the Outstanding Facility Amount were reduced by an amount equal to the Cash Collateral (the “</w:t>
      </w:r>
      <w:r>
        <w:rPr>
          <w:rFonts w:ascii="Times New Roman" w:cs="Times New Roman" w:eastAsia="Times New Roman" w:hAnsi="Times New Roman"/>
          <w:sz w:val="18"/>
          <w:szCs w:val="18"/>
          <w:b w:val="1"/>
          <w:bCs w:val="1"/>
          <w:color w:val="auto"/>
        </w:rPr>
        <w:t>Cash Collateral Cure Rights</w:t>
      </w:r>
      <w:r>
        <w:rPr>
          <w:rFonts w:ascii="Times New Roman" w:cs="Times New Roman" w:eastAsia="Times New Roman" w:hAnsi="Times New Roman"/>
          <w:sz w:val="18"/>
          <w:szCs w:val="18"/>
          <w:color w:val="auto"/>
        </w:rPr>
        <w:t>”) and, for so long as the Cash Collateral remains standing to the credit of the Collateral Account and until the Cash Collateral Withdrawal Date (as defined below), the Outstanding Facility Amount shall be deemed to be reduced by an amount equal to the Cash Collateral for all purposes under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provided that:</w:t>
      </w:r>
    </w:p>
    <w:p>
      <w:pPr>
        <w:spacing w:after="0" w:line="214" w:lineRule="exact"/>
        <w:rPr>
          <w:rFonts w:ascii="Times New Roman" w:cs="Times New Roman" w:eastAsia="Times New Roman" w:hAnsi="Times New Roman"/>
          <w:sz w:val="18"/>
          <w:szCs w:val="18"/>
          <w:color w:val="auto"/>
        </w:rPr>
      </w:pPr>
    </w:p>
    <w:p>
      <w:pPr>
        <w:jc w:val="both"/>
        <w:ind w:left="3240" w:hanging="640"/>
        <w:spacing w:after="0" w:line="258" w:lineRule="auto"/>
        <w:tabs>
          <w:tab w:leader="none" w:pos="32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may not be withdrawn from the Collateral Account until the earlier of (x) the Majority Lenders providing written consent to such withdrawal and (y) the first date on which the financial covenant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xml:space="preserve">) would be complied with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withdrawal (and treating the amount so withdrawn as increasing the Outstanding Facility Amount by an equal amount) (such date, the “</w:t>
      </w:r>
      <w:r>
        <w:rPr>
          <w:rFonts w:ascii="Times New Roman" w:cs="Times New Roman" w:eastAsia="Times New Roman" w:hAnsi="Times New Roman"/>
          <w:sz w:val="18"/>
          <w:szCs w:val="18"/>
          <w:b w:val="1"/>
          <w:bCs w:val="1"/>
          <w:color w:val="auto"/>
        </w:rPr>
        <w:t>Cash Collateral Withdrawal Date</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left="3240" w:hanging="640"/>
        <w:spacing w:after="0" w:line="266" w:lineRule="auto"/>
        <w:tabs>
          <w:tab w:leader="none" w:pos="324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the withdrawal of any Cash Collateral on a Cash Collateral Withdrawal Date, the Outstanding Facility Amount shall cease to be deemed to be reduced by the amount so withdrawn for the purposes of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or</w:t>
      </w:r>
    </w:p>
    <w:p>
      <w:pPr>
        <w:spacing w:after="0" w:line="202" w:lineRule="exact"/>
        <w:rPr>
          <w:rFonts w:ascii="Times New Roman" w:cs="Times New Roman" w:eastAsia="Times New Roman" w:hAnsi="Times New Roman"/>
          <w:sz w:val="18"/>
          <w:szCs w:val="18"/>
          <w:color w:val="auto"/>
        </w:rPr>
      </w:pPr>
    </w:p>
    <w:p>
      <w:pPr>
        <w:jc w:val="both"/>
        <w:ind w:left="2600" w:hanging="648"/>
        <w:spacing w:after="0" w:line="255" w:lineRule="auto"/>
        <w:tabs>
          <w:tab w:leader="none" w:pos="26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procures that the Third Party Security Provider makes New Shareholder Injections which are designated in writing by the Company as being provided for the purpose of this Clause 21.2 provided that such New Shareholder Injections are applied toward the acquisition of Shares (the “</w:t>
      </w:r>
      <w:r>
        <w:rPr>
          <w:rFonts w:ascii="Times New Roman" w:cs="Times New Roman" w:eastAsia="Times New Roman" w:hAnsi="Times New Roman"/>
          <w:sz w:val="18"/>
          <w:szCs w:val="18"/>
          <w:b w:val="1"/>
          <w:bCs w:val="1"/>
          <w:color w:val="auto"/>
        </w:rPr>
        <w:t>Cure Share Collateral</w:t>
      </w:r>
      <w:r>
        <w:rPr>
          <w:rFonts w:ascii="Times New Roman" w:cs="Times New Roman" w:eastAsia="Times New Roman" w:hAnsi="Times New Roman"/>
          <w:sz w:val="18"/>
          <w:szCs w:val="18"/>
          <w:color w:val="auto"/>
        </w:rPr>
        <w:t>”) in an amount at least sufficient to ensure that the financial covenant in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 would be complied with (the “</w:t>
      </w:r>
      <w:r>
        <w:rPr>
          <w:rFonts w:ascii="Times New Roman" w:cs="Times New Roman" w:eastAsia="Times New Roman" w:hAnsi="Times New Roman"/>
          <w:sz w:val="18"/>
          <w:szCs w:val="18"/>
          <w:b w:val="1"/>
          <w:bCs w:val="1"/>
          <w:color w:val="auto"/>
        </w:rPr>
        <w:t>Share Collateral 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and, together with the Cash Collateral Cure Rights, the “</w:t>
      </w:r>
      <w:r>
        <w:rPr>
          <w:rFonts w:ascii="Times New Roman" w:cs="Times New Roman" w:eastAsia="Times New Roman" w:hAnsi="Times New Roman"/>
          <w:sz w:val="18"/>
          <w:szCs w:val="18"/>
          <w:b w:val="1"/>
          <w:bCs w:val="1"/>
          <w:color w:val="auto"/>
        </w:rPr>
        <w:t>Collateral Cure Rights</w:t>
      </w:r>
      <w:r>
        <w:rPr>
          <w:rFonts w:ascii="Times New Roman" w:cs="Times New Roman" w:eastAsia="Times New Roman" w:hAnsi="Times New Roman"/>
          <w:sz w:val="18"/>
          <w:szCs w:val="18"/>
          <w:color w:val="auto"/>
        </w:rPr>
        <w:t>” and the Collaterual 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together with the Prepayment Cure Rights, the “</w:t>
      </w:r>
      <w:r>
        <w:rPr>
          <w:rFonts w:ascii="Times New Roman" w:cs="Times New Roman" w:eastAsia="Times New Roman" w:hAnsi="Times New Roman"/>
          <w:sz w:val="18"/>
          <w:szCs w:val="18"/>
          <w:b w:val="1"/>
          <w:bCs w:val="1"/>
          <w:color w:val="auto"/>
        </w:rPr>
        <w:t>Cure Rights</w:t>
      </w:r>
      <w:r>
        <w:rPr>
          <w:rFonts w:ascii="Times New Roman" w:cs="Times New Roman" w:eastAsia="Times New Roman" w:hAnsi="Times New Roman"/>
          <w:sz w:val="18"/>
          <w:szCs w:val="18"/>
          <w:color w:val="auto"/>
        </w:rPr>
        <w:t>”) provided further that such Cure Share Collateral is subject to Transaction Security and all applicable Perfection Requirements have been completed.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prepayment of the Facility (together with any applicable Call Price), the deposit of Cash Collateral or the acquisition of any Cure Share Collateral (as applicable), the Company shall provide a revised Compliance Certificate to the Agent (signed by the CFO) setting out the revised financial covenant for the Relevant Period confirming compliance after giving effect to the prepayment of the Facility and the applicable Call Price made under paragraph (c) above.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229" w:lineRule="exact"/>
        <w:rPr>
          <w:sz w:val="20"/>
          <w:szCs w:val="20"/>
          <w:color w:val="auto"/>
        </w:rPr>
      </w:pPr>
    </w:p>
    <w:p>
      <w:pPr>
        <w:jc w:val="both"/>
        <w:ind w:left="1300" w:hanging="644"/>
        <w:spacing w:after="0" w:line="282"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Third Party Security Provider fails to observe or perform any of its obligations or does not comply with any provision of the Finance Documents (other than those referred to in Clause 21.1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and Clause 19 (</w:t>
      </w:r>
      <w:r>
        <w:rPr>
          <w:rFonts w:ascii="Times New Roman" w:cs="Times New Roman" w:eastAsia="Times New Roman" w:hAnsi="Times New Roman"/>
          <w:sz w:val="18"/>
          <w:szCs w:val="18"/>
          <w:i w:val="1"/>
          <w:iCs w:val="1"/>
          <w:color w:val="auto"/>
        </w:rPr>
        <w:t>Financial Covenant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Restricted Group enters into a Material Transaction that is not a Permitted Material Transaction.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paragraph (a) and (b) above if such failure to observe or perform or comply is capable of remedy and is remedied within twenty (20) Business Days from the earlier of (i) the Company becoming aware of the failure to comply or the relevant Material Transaction in the case of paragraph (b), and (ii) the giving of notice by the Agent in respect of such failure.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256" w:lineRule="exact"/>
        <w:rPr>
          <w:sz w:val="20"/>
          <w:szCs w:val="20"/>
          <w:color w:val="auto"/>
        </w:rPr>
      </w:pPr>
    </w:p>
    <w:p>
      <w:pPr>
        <w:jc w:val="both"/>
        <w:ind w:left="1300" w:hanging="644"/>
        <w:spacing w:after="0" w:line="261"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written statement made or deemed to be made by the Company or the Third Party Security Provider in any of the Finance Documents or any other document delivered by or on behalf of the Company or Third Party Security Provider under or pursuant to any of the Finance Documents is or proves to be incorrect or misleading when made or deemed to be made (or when repeated or deemed to be repeated).</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paragraph (a) above if the circumstances giving rise to that misrepresentation are capable of remedy and are remedied within thirty (30) Business Days of the earlier of (i) the Company becoming aware of such misrepresentation, and (ii) the giving of notice by the Agent in respect of such misrepresentation.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b w:val="1"/>
          <w:bCs w:val="1"/>
          <w:color w:val="auto"/>
        </w:rPr>
        <w:t>Invalidity and Unlawfulness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Finance Document is or becomes invalid or (subject to the Legal Reservations) unenforceable for any reason or shall be repudiated or the validity or enforceability of any provision of any Finance Document shall at any time be contested by the Company or the Third Party Security Provider and this, individually or cumulatively, could reasonably be expected to materially adversely affect the interests of the Finance Parties under the Finance Documents.</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it is or becomes unlawful for the Company, the Third Party Security Provider or any other member of the Group to perform any of its obligations under any of the Finance Documents or any Transaction Security created or expressed to be created by the Transaction Security Documents ceases to be effective or any subordination under the Subordination Agreement is or becomes unlawful, and this individually or cumulatively could reasonably be expected to materially adversely affect the interests of the Finance Parties under the Finance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obligations of the Company, the Third Party Security Provider under any Finance Document is or are not, or cease or ceases to be (subject to the Legal Reservations) legal, valid, binding or enforceable and the cessation individually or cumulatively could reasonably be expected to materially adversely affect the interests of the Finance Parties under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56" w:lineRule="exact"/>
        <w:rPr>
          <w:sz w:val="20"/>
          <w:szCs w:val="20"/>
          <w:color w:val="auto"/>
        </w:rPr>
      </w:pPr>
    </w:p>
    <w:p>
      <w:pPr>
        <w:ind w:left="1300" w:hanging="644"/>
        <w:spacing w:after="0" w:line="282"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member or members of the Group or Restricted Group is not paid when due nor within any originally applicable grace period.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member or members of the Group or Restricted Group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member or members of the Group or Restricted Group becomes entitled to declare any Financial Indebtedness of any member of the Group or Restricted Group due and payable prior to its specified maturity as a result of an event of default (however described).</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21.6 if the aggregate amount of Financial Indebtedness falling within paragraphs (a) to</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7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less than $5,000,000 (or its equivalent in any other currency or currencies), and excluding in each case any Permitted Financial Indebtedness (A) to the extent owed by one member of the Group to another member of the Group or Restricted Group or (B) of the Company under Shareholder Loans.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56" w:lineRule="exact"/>
        <w:rPr>
          <w:sz w:val="20"/>
          <w:szCs w:val="20"/>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Third Party Security Provider:</w:t>
      </w:r>
    </w:p>
    <w:p>
      <w:pPr>
        <w:spacing w:after="0" w:line="252"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(or declared to be unable under any applicable law) or admits inability to pay its debts as they fall due (in each case other than solely as a result of its balance sheet liabilities exceeding its balance sheet assets except where the same would result in or require the taking of any corporate action, legal proceedings, insolvency filing, cessation of trading and/or any other procedure or steps referred to in Clauses 21.8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to 21.10 (</w:t>
      </w:r>
      <w:r>
        <w:rPr>
          <w:rFonts w:ascii="Times New Roman" w:cs="Times New Roman" w:eastAsia="Times New Roman" w:hAnsi="Times New Roman"/>
          <w:sz w:val="18"/>
          <w:szCs w:val="18"/>
          <w:i w:val="1"/>
          <w:iCs w:val="1"/>
          <w:color w:val="auto"/>
        </w:rPr>
        <w:t>Similar events elsewhere</w:t>
      </w:r>
      <w:r>
        <w:rPr>
          <w:rFonts w:ascii="Times New Roman" w:cs="Times New Roman" w:eastAsia="Times New Roman" w:hAnsi="Times New Roman"/>
          <w:sz w:val="18"/>
          <w:szCs w:val="18"/>
          <w:color w:val="auto"/>
        </w:rPr>
        <w:t>) (each inclusive));</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or suspends making payment on any of its debts or publicly announces an intention to do so; or</w:t>
      </w:r>
    </w:p>
    <w:p>
      <w:pPr>
        <w:spacing w:after="0" w:line="252"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or anticipated financial difficulties commences negotiations with one or more of its groups of financial creditors or class of financial creditors generally (other than negotiations with the Finance Parties) with a view to the general readjustment or rescheduling of its indebtedness or makes a general assignment for the benefit of or a composition with one or more of its groups or class of financial creditors.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the indebtedness of the Borrower or the Third Party Security Provider.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formal corporate action or legal proceeding is taken in relation to:</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of any indebtedness, winding-up, dissolution, bankruptcy, administration or reorganisation (by way of voluntary arrangement, scheme of arrangement or otherwise) of the Company or the Third Party Security Provider;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class of financial creditors generally (other than any Finance Party) of the Company or the Third Party Security Provider in connection with or as a result of any financial difficulty on the part of the of the Company or the Third Party Security Provider;</w:t>
      </w:r>
    </w:p>
    <w:p>
      <w:pPr>
        <w:spacing w:after="0" w:line="20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administrative receiver, administrator, compulsory manager or other similar officer in respect of, or all or any part of the business or assets of the Company or the Third Party Security Provider;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any Security over, or all or any part of the business or assets of the Company or the Third Party Security Provider; or</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analogous procedure or step is taken in any jurisdiction.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 to:</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which are frivolous or vexatious and which, if capable of remedy, are discharged, stayed or dismissed within twenty (20) Business Days of commencement or, if earlier, the date on which it is advertised (or such other period as agreed between the Company and the Majority Lenders);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ind w:left="1960" w:hanging="656"/>
        <w:spacing w:after="0" w:line="282" w:lineRule="auto"/>
        <w:tabs>
          <w:tab w:leader="none" w:pos="1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application to appoint an administrator or commence proceedings) any proceedings which the Agent is satisfied (acting on the instructions of the Majority Lenders) will be withdrawn before it is heard or will be unsuccessful; or</w:t>
      </w:r>
    </w:p>
    <w:p>
      <w:pPr>
        <w:spacing w:after="0" w:line="186"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step or procedure contemplated in relation to a merger that is permitted under Clause 20.12 (</w:t>
      </w:r>
      <w:r>
        <w:rPr>
          <w:rFonts w:ascii="Times New Roman" w:cs="Times New Roman" w:eastAsia="Times New Roman" w:hAnsi="Times New Roman"/>
          <w:sz w:val="18"/>
          <w:szCs w:val="18"/>
          <w:i w:val="1"/>
          <w:iCs w:val="1"/>
          <w:color w:val="auto"/>
        </w:rPr>
        <w:t>Amalgamations and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or any Permitted Transaction.</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b w:val="1"/>
          <w:bCs w:val="1"/>
          <w:color w:val="auto"/>
        </w:rPr>
        <w:t>Attachment or process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Any attachment, distress, execution, possession, diligence, arrestment, joinder, sequestration, preliminary attachment, executory attachment, or other analogous process in any jurisdiction is levied or enforced upon or sued out against any asset or assets of the Company or the Third Party Security Provider, having in the case of assets an aggregate value in excess of $5,000,000 and is not, if capable of remedy, discharged within 30 Business Days after commencement.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b w:val="1"/>
          <w:bCs w:val="1"/>
          <w:color w:val="auto"/>
        </w:rPr>
        <w:t>Similar events elsewhere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There occurs in relation to the Company or the Third Party Security Provider or any of their respective assets in any country or territory in which it is incorporated or carries on business or to the jurisdiction of whose courts it or any of its assets is subject to any event which corresponds in that country or territory with any of those mentioned in Clauses 21.7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to 21.9 (</w:t>
      </w:r>
      <w:r>
        <w:rPr>
          <w:rFonts w:ascii="Times New Roman" w:cs="Times New Roman" w:eastAsia="Times New Roman" w:hAnsi="Times New Roman"/>
          <w:sz w:val="18"/>
          <w:szCs w:val="18"/>
          <w:i w:val="1"/>
          <w:iCs w:val="1"/>
          <w:color w:val="auto"/>
        </w:rPr>
        <w:t>Attachment or process</w:t>
      </w:r>
      <w:r>
        <w:rPr>
          <w:rFonts w:ascii="Times New Roman" w:cs="Times New Roman" w:eastAsia="Times New Roman" w:hAnsi="Times New Roman"/>
          <w:sz w:val="18"/>
          <w:szCs w:val="18"/>
          <w:color w:val="auto"/>
        </w:rPr>
        <w:t>) (each inclusive) (in each case subject to equivalent qualifications, materiality and exceptions).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member of the Group suspends or ceases to carry on, or threatens or proposes to cease to carry on, all or substantially all of its business other than as a result of a Permitted Transaction, an amalgamation under paragraph (a) of Clause 20.12 (</w:t>
      </w:r>
      <w:r>
        <w:rPr>
          <w:rFonts w:ascii="Times New Roman" w:cs="Times New Roman" w:eastAsia="Times New Roman" w:hAnsi="Times New Roman"/>
          <w:sz w:val="18"/>
          <w:szCs w:val="18"/>
          <w:i w:val="1"/>
          <w:iCs w:val="1"/>
          <w:color w:val="auto"/>
        </w:rPr>
        <w:t>Amalgamations and Change of Business</w:t>
      </w:r>
      <w:r>
        <w:rPr>
          <w:rFonts w:ascii="Times New Roman" w:cs="Times New Roman" w:eastAsia="Times New Roman" w:hAnsi="Times New Roman"/>
          <w:sz w:val="18"/>
          <w:szCs w:val="18"/>
          <w:color w:val="auto"/>
        </w:rPr>
        <w:t>) or a Permitted Disposal.</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21.12</w:t>
      </w:r>
      <w:r>
        <w:rPr>
          <w:sz w:val="20"/>
          <w:szCs w:val="20"/>
          <w:color w:val="auto"/>
        </w:rPr>
        <w:tab/>
      </w:r>
      <w:r>
        <w:rPr>
          <w:rFonts w:ascii="Times New Roman" w:cs="Times New Roman" w:eastAsia="Times New Roman" w:hAnsi="Times New Roman"/>
          <w:sz w:val="18"/>
          <w:szCs w:val="18"/>
          <w:b w:val="1"/>
          <w:bCs w:val="1"/>
          <w:color w:val="auto"/>
        </w:rPr>
        <w:t>Compulsory Acquisition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or part of the assets of any member of the Restricted Group are seized, nationalised, expropriated or compulsorily acquired by, or by the order of, any agency of any state (or any analogous process by relevant authorities in any jurisdiction) and such event has or would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21.13</w:t>
      </w:r>
      <w:r>
        <w:rPr>
          <w:sz w:val="20"/>
          <w:szCs w:val="20"/>
          <w:color w:val="auto"/>
        </w:rPr>
        <w:tab/>
      </w:r>
      <w:r>
        <w:rPr>
          <w:rFonts w:ascii="Times New Roman" w:cs="Times New Roman" w:eastAsia="Times New Roman" w:hAnsi="Times New Roman"/>
          <w:sz w:val="17"/>
          <w:szCs w:val="17"/>
          <w:b w:val="1"/>
          <w:bCs w:val="1"/>
          <w:color w:val="auto"/>
        </w:rPr>
        <w:t>Litigation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litigation, arbitration, or administrative or regulatory proceeding, Environmental Claim or action or labour dispute is commenced by or against a member of the Restricted Group or any of their assets which is reasonably likely to be adversely determined by a body of competent jurisdiction, and if adversely determined has or would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b w:val="1"/>
          <w:bCs w:val="1"/>
          <w:color w:val="auto"/>
        </w:rPr>
        <w:t>Auditor’s Qualification</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Auditors qualify their report on the audited consolidated financial statements of any of the Company or Alvotech in any manner which is or could reasonably be expected to be (individually or cumulatively) materially adverse to the interests of the Finance Parties in the context of the Finance Documents, in respect of the Restricted Group continuing as a going concern (other than due to (x) any prospective breach of a financial covenant, or (y) in relation to the near term maturity of Financial Indebtedness existing as at the date of this Agreement to the extent disclosed to, and approved in writing by, the Original Lender on or prior to the date of this Agreement, and provided that the CEO or CFO of the Company certifies to the Agent in writing that unconditional arrangements (or if subject to conditions, provided the satisfaction of such conditions are entirely within the control of a member of the Restricted Group) are in place to refinance that Financial Indebtedness which are permitted under the terms of this Agreement and which would not cause or be reasonably expected to result in (after giving pro forma effect to such refinancing) a breach of the terms of the Finance Documents (providing supporting evidence and including sufficient details thereof)) or by reason of failure to disclose information.</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21.15</w:t>
      </w:r>
      <w:r>
        <w:rPr>
          <w:sz w:val="20"/>
          <w:szCs w:val="20"/>
          <w:color w:val="auto"/>
        </w:rPr>
        <w:tab/>
      </w:r>
      <w:r>
        <w:rPr>
          <w:rFonts w:ascii="Times New Roman" w:cs="Times New Roman" w:eastAsia="Times New Roman" w:hAnsi="Times New Roman"/>
          <w:sz w:val="17"/>
          <w:szCs w:val="17"/>
          <w:b w:val="1"/>
          <w:bCs w:val="1"/>
          <w:color w:val="auto"/>
        </w:rPr>
        <w:t>Subordination Agreement</w:t>
      </w:r>
    </w:p>
    <w:p>
      <w:pPr>
        <w:spacing w:after="0" w:line="229" w:lineRule="exact"/>
        <w:rPr>
          <w:sz w:val="20"/>
          <w:szCs w:val="20"/>
          <w:color w:val="auto"/>
        </w:rPr>
      </w:pPr>
    </w:p>
    <w:p>
      <w:pPr>
        <w:ind w:left="1300" w:right="20" w:hanging="644"/>
        <w:spacing w:after="0" w:line="282"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Creditor fails to comply in any respect with the provisions of, or does not perform its obligations under, the Subordination Agreement, which in each case has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Events of Default will occur under paragraph (a) above if such failure is capable of remedy, and is remedied within thirty (30) Business Days from the earlier of (i) that Party becoming aware of the failure to comply, and (ii) the giving of notice by the Agent in respect of such failure.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21.16</w:t>
      </w:r>
      <w:r>
        <w:rPr>
          <w:sz w:val="20"/>
          <w:szCs w:val="20"/>
          <w:color w:val="auto"/>
        </w:rPr>
        <w:tab/>
      </w:r>
      <w:r>
        <w:rPr>
          <w:rFonts w:ascii="Times New Roman" w:cs="Times New Roman" w:eastAsia="Times New Roman" w:hAnsi="Times New Roman"/>
          <w:sz w:val="17"/>
          <w:szCs w:val="17"/>
          <w:b w:val="1"/>
          <w:bCs w:val="1"/>
          <w:color w:val="auto"/>
        </w:rPr>
        <w:t>Material Adverse 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any event or circumstance occurs which the Majority Lenders believe has or is reasonably likely to have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21.17</w:t>
      </w:r>
      <w:r>
        <w:rPr>
          <w:sz w:val="20"/>
          <w:szCs w:val="20"/>
          <w:color w:val="auto"/>
        </w:rPr>
        <w:tab/>
      </w:r>
      <w:r>
        <w:rPr>
          <w:rFonts w:ascii="Times New Roman" w:cs="Times New Roman" w:eastAsia="Times New Roman" w:hAnsi="Times New Roman"/>
          <w:sz w:val="17"/>
          <w:szCs w:val="17"/>
          <w:b w:val="1"/>
          <w:bCs w:val="1"/>
          <w:color w:val="auto"/>
        </w:rPr>
        <w:t>Repudiation and Rescission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or Third Party Chargor rescinds or purports to rescind (in each case in writing) or repudiates or purports to repudiate (in each case in writing) a Finance Document or any Transaction Security.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21.18</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At any time after the occurrence of an Event of Default which is continuing, the Agent may, and shall if so directed by the Majority Lenders, by written notice to the Company:</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availability of the Facility and cancel the Total Commitments whereupon the Facility shall cease to be available for utilisation, the undrawn portion of the Commitments of each of the Lenders shall be cancelled and no Lender shall be under any further obligation to make Loans under this Agreement; and/or</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Utilisations together with accrued interest thereon and all other amounts accrued or outstanding under the Finance Documents be immediately due and payable, at which time they shall become immediately due and payable; and/or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Utilisations be payable on demand, at which time they shall immediately become payable on demand by the Agent on the instructions of the Majority Lenders;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direct the Security Agent to exercise any or all of its rights, remedies, powers or discretions under the Finance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21.19</w:t>
      </w:r>
      <w:r>
        <w:rPr>
          <w:sz w:val="20"/>
          <w:szCs w:val="20"/>
          <w:color w:val="auto"/>
        </w:rPr>
        <w:tab/>
      </w:r>
      <w:r>
        <w:rPr>
          <w:rFonts w:ascii="Times New Roman" w:cs="Times New Roman" w:eastAsia="Times New Roman" w:hAnsi="Times New Roman"/>
          <w:sz w:val="17"/>
          <w:szCs w:val="17"/>
          <w:b w:val="1"/>
          <w:bCs w:val="1"/>
          <w:color w:val="auto"/>
        </w:rPr>
        <w:t>Enforcement Process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within 20 Business Days of the Agent or the Majority Lenders delivering instructions to the Security Agent to commence any enforcement of any Transaction Security (an “</w:t>
      </w:r>
      <w:r>
        <w:rPr>
          <w:rFonts w:ascii="Times New Roman" w:cs="Times New Roman" w:eastAsia="Times New Roman" w:hAnsi="Times New Roman"/>
          <w:sz w:val="18"/>
          <w:szCs w:val="18"/>
          <w:b w:val="1"/>
          <w:bCs w:val="1"/>
          <w:color w:val="auto"/>
        </w:rPr>
        <w:t>Enforcement Process</w:t>
      </w:r>
      <w:r>
        <w:rPr>
          <w:rFonts w:ascii="Times New Roman" w:cs="Times New Roman" w:eastAsia="Times New Roman" w:hAnsi="Times New Roman"/>
          <w:sz w:val="18"/>
          <w:szCs w:val="18"/>
          <w:color w:val="auto"/>
        </w:rPr>
        <w:t>”), the Third Party Security Provider submits, in writing, to the Security Agent an irrevocable and unconditional binding offer, in form and substance satisfactory to the Security Agent (acting reasonably), to acquire all Charged Property subject to such Enforcement Process, together with proof of funds satisfactory to the Security Agent (a “</w:t>
      </w:r>
      <w:r>
        <w:rPr>
          <w:rFonts w:ascii="Times New Roman" w:cs="Times New Roman" w:eastAsia="Times New Roman" w:hAnsi="Times New Roman"/>
          <w:sz w:val="18"/>
          <w:szCs w:val="18"/>
          <w:b w:val="1"/>
          <w:bCs w:val="1"/>
          <w:color w:val="auto"/>
        </w:rPr>
        <w:t>Redemption Offer</w:t>
      </w:r>
      <w:r>
        <w:rPr>
          <w:rFonts w:ascii="Times New Roman" w:cs="Times New Roman" w:eastAsia="Times New Roman" w:hAnsi="Times New Roman"/>
          <w:sz w:val="18"/>
          <w:szCs w:val="18"/>
          <w:color w:val="auto"/>
        </w:rPr>
        <w:t>”) for cash consideration equal to the aggregate of all amounts outstanding under the Finance Documents including principal, interest, any applicable Call Price, fees (including legal and other advisor fees), expenses, costs (including enforcement costs), and any other claims (the “</w:t>
      </w:r>
      <w:r>
        <w:rPr>
          <w:rFonts w:ascii="Times New Roman" w:cs="Times New Roman" w:eastAsia="Times New Roman" w:hAnsi="Times New Roman"/>
          <w:sz w:val="18"/>
          <w:szCs w:val="18"/>
          <w:b w:val="1"/>
          <w:bCs w:val="1"/>
          <w:color w:val="auto"/>
        </w:rPr>
        <w:t>Full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then the Security Agent shall, to the extent it holds or will hold upon completion of such Enforcement Process such Charged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such Redemption Offer and upon payment in full of the Full Redemption Amount, execute such documents (in form and substance satisfactory to the Security Agent) as are reasonably necessary to transfer such Charged Property, subject to the satisfaction of any conditions or requirements contained in such documents or required by applicable law or regulation, to the Third Party Security Provider (a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Security Agent shall not be required to execute any such transfer documents unless:</w:t>
      </w:r>
    </w:p>
    <w:p>
      <w:pPr>
        <w:spacing w:after="0" w:line="192" w:lineRule="exact"/>
        <w:rPr>
          <w:sz w:val="20"/>
          <w:szCs w:val="20"/>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Redemption Transaction: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permitted by, and effected in compliance with all applicable laws and regulatory requirements and any other obligations or restrictions binding on any Secured Party;</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rise to adverse tax or regulatory consequences for the Secured Parties (as determined by the Secured Parties (acting reasonably));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will not, in the Security Agent’s opinion, prejudice, delay or otherwise adversely affect the Enforcement Process or the value of the Transaction Security;</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documented on terms acceptable to the Security Agent (acting on the instructions of the Majority Lenders); and</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the Security Agent or any of the Secured Parties to provide any representations or warranties regarding the Charged Property and/or the transfer of the Charged Property;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Security Provider has provided an indemnity in favour of each Secured Party (in form and substance satisfactory to the Secured Parties) in respect of any fees, costs, claims or Liability arising, or which may arise, in connection with, or as a (direct or indirect) consequence of, any Redemption Transaction,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Secured Parties shall not be required to suspend, withdraw, delay or otherwise prevent or unwind any Enforcement Process or any other actions taken in accordance with this Agreement in order to facilitate a Redemption Transaction and shall not under any circumstances hold any Charged Property (or any proceeds of sale of such Charged Property) as trustee or agent on behalf of, or owe any fiduciary duty to, the Third Party Security Provider.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ind w:left="660" w:hanging="652"/>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LENDERS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Finance Documents shall be binding upon and enure to the benefit of each party hereto and its or any subsequent successors, transferees, assigns and any New Lender and each such successor, transferee, assignee and any New Lender undertakes to carry out any actions required including the actions contemplated in this Clause 22 or the other provisions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b w:val="1"/>
          <w:bCs w:val="1"/>
          <w:color w:val="auto"/>
        </w:rPr>
        <w:t>Assignments and Transfers by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this Clause 22 and to Clause 23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 any Lender (an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(including by way of novation) any of its rights and obligations;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Voting Sub-Participation, a Non-Voting Sub-Participation or a Conversion of a Non-Voting Sub-Participation,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under any Finance Document to a bank or financial institution, or to any fund or other entity which is regularly engaged in or established for the purpose of making, purchasing or investing in or securitising loans, securities or other financial assets (a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b w:val="1"/>
          <w:bCs w:val="1"/>
          <w:color w:val="auto"/>
        </w:rPr>
        <w:t>Conditions of assignment or transfer</w:t>
      </w:r>
    </w:p>
    <w:p>
      <w:pPr>
        <w:spacing w:after="0" w:line="256" w:lineRule="exact"/>
        <w:rPr>
          <w:sz w:val="20"/>
          <w:szCs w:val="20"/>
          <w:color w:val="auto"/>
        </w:rPr>
      </w:pPr>
    </w:p>
    <w:p>
      <w:pPr>
        <w:jc w:val="both"/>
        <w:ind w:left="1300" w:hanging="644"/>
        <w:spacing w:after="0" w:line="261"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transfer of part of a Lender’s Commitments shall be in a minimum amount of $2,000,000 (and integral multiples of $1,000,000) or, if less, the full amount of such Lender’s Commitments (and in the case of an assignment or transfer of part of a Lender’s Commitments, in an amount such that such Lender’s remaining Commitments under the Facility (when aggregated with the Commitments of its Affiliates and Related Funds) equal at least $2,000,000 following such assignment or transfer) provided that: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Existing Lender is a fund, it may transfer its Commitments and/or assign its rights to (and its corresponding obligations may be released and equivalent obligations acceded to by) another fund that is either an Existing Lender or a Related Fund of a fund that is an Existing Lender in any amount; and</w:t>
      </w:r>
    </w:p>
    <w:p>
      <w:pPr>
        <w:spacing w:after="0" w:line="20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concurrent assignments, release and accessions by an Existing Lender to two or more Related Funds, the Commitments of these Related Funds shall, at the option of the relevant Lender(s), be aggregated.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a Lender must obtain the prior written consent of the Company (not to be unreasonably withheld or delayed) before it may make an assignment, transfer or sub-participation unless the assignment, transfer or sub-participation is: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Existing Lender to an Affiliate of that Existing Lender;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Existing Lender is a fund, to a fund which is a Related Fund of the Existing Lender; or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Morgan Stanley AG or any of its Affiliates or Related Funds.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ind w:left="644" w:hanging="644"/>
        <w:spacing w:after="0" w:line="258" w:lineRule="auto"/>
        <w:tabs>
          <w:tab w:leader="none" w:pos="6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any assignment or transfer or Voting Sub-Participation, Conversion of a Non-Voting Sub-Participation or Similar Arrangement unless such assignment, transfer, Voting Sub-Participation, Conversion of a Non-Voting Sub-Participation or any other arrangement having or which is intended to have a similar effect to any of the foregoing (including by structuring such arrangement through a sale of corporate or similar entities holding debt participations to effect a transfer of such participations) may be entered into by an Existing Lender without the consent of the Company.</w:t>
      </w:r>
    </w:p>
    <w:p>
      <w:pPr>
        <w:spacing w:after="0" w:line="20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transfer under Clause 22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will only be effective upon:</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(in the Assignment Agreement or otherwise) of written confirmation from the New Lender (in form and substance satisfactory to the Agent) that it will assume the same obligations to each of the other Finance Parties and the other Secured Parties as it would have been under had it been an Original Lender; and</w:t>
      </w:r>
    </w:p>
    <w:p>
      <w:pPr>
        <w:spacing w:after="0" w:line="202"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“know your customer” or other similar checks under all applicable laws and regulations relating to any person that the Agent is required to carry out in relation to such assignment or transfer to a New Lender, the completion of which the Agent shall promptly notify to the Existing Lender and the New Lender.</w:t>
      </w:r>
    </w:p>
    <w:p>
      <w:pPr>
        <w:spacing w:after="0" w:line="20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will only be effective if the New Lender if the procedure set out in Clause 22.7 (</w:t>
      </w:r>
      <w:r>
        <w:rPr>
          <w:rFonts w:ascii="Times New Roman" w:cs="Times New Roman" w:eastAsia="Times New Roman" w:hAnsi="Times New Roman"/>
          <w:sz w:val="18"/>
          <w:szCs w:val="18"/>
          <w:i w:val="1"/>
          <w:iCs w:val="1"/>
          <w:color w:val="auto"/>
        </w:rPr>
        <w:t>Procedure for transfers</w:t>
      </w:r>
      <w:r>
        <w:rPr>
          <w:rFonts w:ascii="Times New Roman" w:cs="Times New Roman" w:eastAsia="Times New Roman" w:hAnsi="Times New Roman"/>
          <w:sz w:val="18"/>
          <w:szCs w:val="18"/>
          <w:color w:val="auto"/>
        </w:rPr>
        <w:t>) is complied with.</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this Clause 22.3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the Company and each Third Party Security Provider hereby expressly consents to each assignment, transfer and/or novation or rights or obligations Clause 22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The Company and each Third Party Security Provider also accepts and confirms that all guarantees, indemnities and Security granted by it under any Finance Document will, notwithstanding any such assignment, transfer or novation, continue and be preserved for the benefit of the New Lender and each of the other Finance Parties in accordance with the terms of the Finance Documents.</w:t>
      </w:r>
    </w:p>
    <w:p>
      <w:pPr>
        <w:spacing w:after="0" w:line="1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52"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transfers, novates, sub-participates, sub-contracts, creates a trust over or otherwise disposes of any of its rights or obligations under the Finance Documents or changes its Facility Office; and</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novation, sub-participation, sub-contract, creation of trust, other disposal of rights or obligations under the Finance Documents, change in Facility Office or other change occurs, the Company or the Third Party Security Provider would be obliged to make a payment to the New Lender or Lender acting through its new Facility Office, lending office under Clause 12 (Taxes)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then the Company and the Third Party Security Provider are not required to make a payment under those Clauses save to the extent that the Tax Deduction, Tax or other cost giving rise to the requirement to make a payment under those Clauses would have arisen had the assignment, transfer, novation, sub-participation, sub-contract, creation of trust, other disposal or change not occurred.</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8" w:name="page99"/>
    <w:bookmarkEnd w:id="98"/>
    <w:p>
      <w:pPr>
        <w:jc w:val="both"/>
        <w:ind w:left="1300" w:hanging="644"/>
        <w:spacing w:after="0" w:line="258" w:lineRule="auto"/>
        <w:tabs>
          <w:tab w:leader="none" w:pos="13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relevant Transfer Certificate or Assignment Agreement, confirms, for the avoidance of doubt, that the Agent has the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b w:val="1"/>
          <w:bCs w:val="1"/>
          <w:color w:val="auto"/>
        </w:rPr>
        <w:t>Assignments by Lenders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Upon an assignment becoming effective, the Existing Lender will be released from its obligations under the Finance Documents to the extent they are assumed by the New Lender.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Unless the Agent agrees otherwise and excluding an assignment or transfer to an Affiliate or Related Fund of a Lender, the New Lender shall, on or before the date upon which an assignment or transfer to it takes effect pursuant to this Clause 22, pay to the Agent (for its own account) a fee of $3,500.</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229" w:lineRule="exact"/>
        <w:rPr>
          <w:sz w:val="20"/>
          <w:szCs w:val="20"/>
          <w:color w:val="auto"/>
        </w:rPr>
      </w:pPr>
    </w:p>
    <w:p>
      <w:pPr>
        <w:ind w:left="1300" w:right="80" w:hanging="644"/>
        <w:spacing w:after="0" w:line="282"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Transaction Documents, the Transaction Security or any other documents;</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Company or the Third Party Security Provider or any other member of the Group;</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the Company or the Third Party Security Provider or any other member of the Group of its obligations under the Transaction Documents or any other documents; or</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or information (whether written or oral) made or supplied in connection with any Transaction Document or any other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and the other Finance Parties and the Secured Parties that it: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the Company or the Third Party Security Provider, and of their related entities and all other risks arising in connection with its participation in the Finance Documents and has not relied exclusively on any information provided to it by the Existing Lender or any other Finance Party in connection with any Transaction Document or the Transaction Security; and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the Company and the Third Party Security Provider and of their related entities whilst any amount is or may be outstanding under the Finance Documents or any Commitment is in force.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ind w:left="1300" w:hanging="644"/>
        <w:spacing w:after="0"/>
        <w:tabs>
          <w:tab w:leader="none" w:pos="13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or re-assignment from a New Lender of any of the rights and obligations assigned or transferred by such Existing Lender under this Clause 22; or</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the Company or the Third Party Security Provider of its obligations under the Transaction Documents or otherwise.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b w:val="1"/>
          <w:bCs w:val="1"/>
          <w:color w:val="auto"/>
        </w:rPr>
        <w:t>Procedure for transfers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22.3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 transfer by novation is effected in accordance with paragraph (e) below of this Clause 22.7 when the Agent executes an otherwise duly completed Transfer Certificate executed and delivered to it by the Existing Lender and the New Lender.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subject to paragraph (c) below, as soon as reasonably practicable after receipt of a duly completed Transfer Certificate which appears on its face to comply with the terms of this Agreement and appears to be delivered in accordance with the terms of this Agreement, execute that Transfer Certificate and record the transfer in the Register.</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similar checks under all applicable laws and regulations in relation to the transfer to such New Lender.</w:t>
      </w:r>
    </w:p>
    <w:p>
      <w:pPr>
        <w:spacing w:after="0" w:line="20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(other than the Existing Lender and the New Lender) irrevocably authorises the Agent to execute any duly completed Transfer Certificate on its behalf.</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such Transfer Certificate the Existing Lender seeks to transfer by novation its rights and obligations under the Finance Documents and in respect of the Transaction Security, the Company and the Third Party Security Provider and such Existing Lender shall be released from further obligations towards one another (and the Existing Lender shall be released from any further obligations toward each other) under the Finance Documents and in respect of the Transaction Security and their respective rights against one another under the Finance Documents and in respect of the Transaction Security shall be cancelled (such rights and obligations being referred to in this Clause 22.7 as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the Third Security Party Provider and the New Lender shall assume obligations towards one another and/or acquire rights against one another which differ from the discharged rights and obligations only insofar as the Company, the Third Party Security Provider or other member of the Group and that New Lender have assumed and/or acquired the same in place of the Company, the Third Party Security Provider and such Existing Lender;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New Lender and the other Finance Parties shall acquire the same rights and benefits and assume the same obligations between themselves as they would have acquired and assumed had such New Lender been an original party hereto as a Lender with the rights, benefits and/or obligations acquired or assumed by it as a result of such transfer and to that extent the Agent and the relevant Existing Lender and the other Finance Parties (other than the New Lender) shall each be released from further obligations to each other under the Finance Documents;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Lender shall become a party hereto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right="2040" w:firstLine="1304"/>
        <w:spacing w:after="0" w:line="499" w:lineRule="auto"/>
        <w:tabs>
          <w:tab w:leader="none" w:pos="19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benefit of each Transaction Security Document shall be maintained in favour of the New Lender. 22.8 </w:t>
      </w:r>
      <w:r>
        <w:rPr>
          <w:rFonts w:ascii="Times New Roman" w:cs="Times New Roman" w:eastAsia="Times New Roman" w:hAnsi="Times New Roman"/>
          <w:sz w:val="18"/>
          <w:szCs w:val="18"/>
          <w:b w:val="1"/>
          <w:bCs w:val="1"/>
          <w:color w:val="auto"/>
        </w:rPr>
        <w:t>Procedure for assignment</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22.3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Assignment Agreement delivered to it by the Existing Lender and the New Lender once it is satisfied it has complied with all necessary “</w:t>
      </w:r>
      <w:r>
        <w:rPr>
          <w:rFonts w:ascii="Times New Roman" w:cs="Times New Roman" w:eastAsia="Times New Roman" w:hAnsi="Times New Roman"/>
          <w:sz w:val="18"/>
          <w:szCs w:val="18"/>
          <w:b w:val="1"/>
          <w:bCs w:val="1"/>
          <w:color w:val="auto"/>
        </w:rPr>
        <w:t>know your customer</w:t>
      </w:r>
      <w:r>
        <w:rPr>
          <w:rFonts w:ascii="Times New Roman" w:cs="Times New Roman" w:eastAsia="Times New Roman" w:hAnsi="Times New Roman"/>
          <w:sz w:val="18"/>
          <w:szCs w:val="18"/>
          <w:color w:val="auto"/>
        </w:rPr>
        <w:t>” or similar checks under all applicable laws and regulations in relation to the assignment to such New Lender.</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57"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be released from the obligations (the “</w:t>
      </w:r>
      <w:r>
        <w:rPr>
          <w:rFonts w:ascii="Times New Roman" w:cs="Times New Roman" w:eastAsia="Times New Roman" w:hAnsi="Times New Roman"/>
          <w:sz w:val="18"/>
          <w:szCs w:val="18"/>
          <w:b w:val="1"/>
          <w:bCs w:val="1"/>
          <w:color w:val="auto"/>
        </w:rPr>
        <w:t>Relevant Obligations</w:t>
      </w:r>
      <w:r>
        <w:rPr>
          <w:rFonts w:ascii="Times New Roman" w:cs="Times New Roman" w:eastAsia="Times New Roman" w:hAnsi="Times New Roman"/>
          <w:sz w:val="18"/>
          <w:szCs w:val="18"/>
          <w:color w:val="auto"/>
        </w:rPr>
        <w:t>”) expressed to be the subject of the release in the Assignment Agreement (and any corresponding obligations by which it is bound in respect of the Transaction Security); and</w:t>
      </w:r>
    </w:p>
    <w:p>
      <w:pPr>
        <w:spacing w:after="0" w:line="197" w:lineRule="exact"/>
        <w:rPr>
          <w:rFonts w:ascii="Times New Roman" w:cs="Times New Roman" w:eastAsia="Times New Roman" w:hAnsi="Times New Roman"/>
          <w:sz w:val="18"/>
          <w:szCs w:val="18"/>
          <w:color w:val="auto"/>
        </w:rPr>
      </w:pPr>
    </w:p>
    <w:p>
      <w:pPr>
        <w:ind w:left="80" w:right="240" w:firstLine="1224"/>
        <w:spacing w:after="0" w:line="518" w:lineRule="auto"/>
        <w:tabs>
          <w:tab w:leader="none" w:pos="1957"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and will be bound by obligations equivalent to the Relevant Obligations. 22.9 </w:t>
      </w:r>
      <w:r>
        <w:rPr>
          <w:rFonts w:ascii="Times New Roman" w:cs="Times New Roman" w:eastAsia="Times New Roman" w:hAnsi="Times New Roman"/>
          <w:sz w:val="18"/>
          <w:szCs w:val="18"/>
          <w:b w:val="1"/>
          <w:bCs w:val="1"/>
          <w:color w:val="auto"/>
        </w:rPr>
        <w:t>Voting Sub-Participation, Non-Voting Sub-Participation or Conversion of Non-Voting Sub-Participation</w:t>
      </w:r>
    </w:p>
    <w:p>
      <w:pPr>
        <w:spacing w:after="0" w:line="2" w:lineRule="exact"/>
        <w:rPr>
          <w:sz w:val="20"/>
          <w:szCs w:val="20"/>
          <w:color w:val="auto"/>
        </w:rPr>
      </w:pPr>
    </w:p>
    <w:p>
      <w:pPr>
        <w:jc w:val="both"/>
        <w:ind w:left="1300" w:hanging="644"/>
        <w:spacing w:after="0" w:line="266" w:lineRule="auto"/>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enter into a Voting Sub-Participation or a Conversion of a Non-Voting Sub-Participation without the prior written consent of the Company (not to be unreasonably withheld or delayed) save where such consent would not be required in accordance with paragraph (c) of Clause 22.3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Voting Sub-Participation, Non-Voting Sub-Participation or Conversion of a Non-Voting Sub-Participation, subject to Clause 22.3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nothing in this Agreement shall restrict the ability of a Lender to enter into a Non-Voting Sub-Participation so long as such Lender remains liable under this Agreement in relation to those obligations.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left="1300" w:hanging="644"/>
        <w:spacing w:after="0" w:line="266" w:lineRule="auto"/>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prior to entering into any Voting Sub-Participation, Non-Voting Sub-Participation or Conversion of a Non-Voting Sub-Participation in accordance with this Clause 22.9, the relevant Lender shall give the Company at least five (5) Business Days advance notice thereof.</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Voting Sub-Participation, Non-Voting Sub-Participation or Conversion of a Non-Voting Sub-Participation is carried out in breach of this Clause 22.9, such Voting Sub-Participation, Non-Voting Sub-Participation or Conversion of a Non-Voting Sub-Participation shall be void and deemed to have not occurred.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22.10</w:t>
      </w:r>
      <w:r>
        <w:rPr>
          <w:sz w:val="20"/>
          <w:szCs w:val="20"/>
          <w:color w:val="auto"/>
        </w:rPr>
        <w:tab/>
      </w:r>
      <w:r>
        <w:rPr>
          <w:rFonts w:ascii="Times New Roman" w:cs="Times New Roman" w:eastAsia="Times New Roman" w:hAnsi="Times New Roman"/>
          <w:sz w:val="17"/>
          <w:szCs w:val="17"/>
          <w:b w:val="1"/>
          <w:bCs w:val="1"/>
          <w:color w:val="auto"/>
        </w:rPr>
        <w:t>The Register</w:t>
      </w:r>
    </w:p>
    <w:p>
      <w:pPr>
        <w:spacing w:after="0" w:line="227" w:lineRule="exact"/>
        <w:rPr>
          <w:sz w:val="20"/>
          <w:szCs w:val="20"/>
          <w:color w:val="auto"/>
        </w:rPr>
      </w:pPr>
    </w:p>
    <w:p>
      <w:pPr>
        <w:ind w:left="1300" w:hanging="644"/>
        <w:spacing w:after="0"/>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acting for this purpose as the agent of the Company, shall maintain at its address referred to in Clause 32.2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Transfer Certificate referred to in Clause 22.7 (</w:t>
      </w:r>
      <w:r>
        <w:rPr>
          <w:rFonts w:ascii="Times New Roman" w:cs="Times New Roman" w:eastAsia="Times New Roman" w:hAnsi="Times New Roman"/>
          <w:sz w:val="18"/>
          <w:szCs w:val="18"/>
          <w:i w:val="1"/>
          <w:iCs w:val="1"/>
          <w:color w:val="auto"/>
        </w:rPr>
        <w:t>Procedure for transfers</w:t>
      </w:r>
      <w:r>
        <w:rPr>
          <w:rFonts w:ascii="Times New Roman" w:cs="Times New Roman" w:eastAsia="Times New Roman" w:hAnsi="Times New Roman"/>
          <w:sz w:val="18"/>
          <w:szCs w:val="18"/>
          <w:color w:val="auto"/>
        </w:rPr>
        <w:t>) and each Assignment Agreement referred to in Clause 22.8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delivered to and accepted by it; and</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Facility, a register for the recording of the names and addresses of the Lenders and the Commitment of, and principal amount (and stated interest) owing to, each Lender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under such Facility, which may be kept in electronic form.</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entries in the Register shall be conclusive and binding for all purposes, absent manifest error, and the Company, the Agent and the Lenders shall treat each person whose name is recorded in the Register as a Lender hereunder for all purposes of this Agreement. The Agent shall provide the Company with a copy of the Register within five (5) Business Days of request.</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authorises the Agent to make the relevant entry in the Register (and which the Agent shall do promptly) on its behalf for the purposes of this Clause 22.10 (</w:t>
      </w:r>
      <w:r>
        <w:rPr>
          <w:rFonts w:ascii="Times New Roman" w:cs="Times New Roman" w:eastAsia="Times New Roman" w:hAnsi="Times New Roman"/>
          <w:sz w:val="18"/>
          <w:szCs w:val="18"/>
          <w:i w:val="1"/>
          <w:iCs w:val="1"/>
          <w:color w:val="auto"/>
        </w:rPr>
        <w:t>The Register</w:t>
      </w:r>
      <w:r>
        <w:rPr>
          <w:rFonts w:ascii="Times New Roman" w:cs="Times New Roman" w:eastAsia="Times New Roman" w:hAnsi="Times New Roman"/>
          <w:sz w:val="18"/>
          <w:szCs w:val="18"/>
          <w:color w:val="auto"/>
        </w:rPr>
        <w:t>) without any further consent of, or consultation with, such Party.</w:t>
      </w:r>
    </w:p>
    <w:p>
      <w:pPr>
        <w:spacing w:after="0" w:line="20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upon request by an Existing Lender (as defined in Clause 22.2 (</w:t>
      </w:r>
      <w:r>
        <w:rPr>
          <w:rFonts w:ascii="Times New Roman" w:cs="Times New Roman" w:eastAsia="Times New Roman" w:hAnsi="Times New Roman"/>
          <w:sz w:val="18"/>
          <w:szCs w:val="18"/>
          <w:i w:val="1"/>
          <w:iCs w:val="1"/>
          <w:color w:val="auto"/>
        </w:rPr>
        <w:t>Assignments and Transfers by Lenders</w:t>
      </w:r>
      <w:r>
        <w:rPr>
          <w:rFonts w:ascii="Times New Roman" w:cs="Times New Roman" w:eastAsia="Times New Roman" w:hAnsi="Times New Roman"/>
          <w:sz w:val="18"/>
          <w:szCs w:val="18"/>
          <w:color w:val="auto"/>
        </w:rPr>
        <w:t>)) or a New Lender, confirm to that Existing Lender or New Lender whether a transfer or assignment from that Existing Lender or (as the case may be) to that New Lender has been recorded on the Register (including details of the Commitment of that Existing Lender or New Lender in each Facility).</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b w:val="1"/>
          <w:bCs w:val="1"/>
          <w:color w:val="auto"/>
        </w:rPr>
        <w:t>Copy of Transfer Certificate or Assignment Agreement to Company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Agent shall provide, upon the request of the Company, in relation to any specified Transfer Certificate or Assignment Agreement, a copy of such document to the Company within five (5) Business Days of receipt of such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22.12</w:t>
      </w:r>
      <w:r>
        <w:rPr>
          <w:sz w:val="20"/>
          <w:szCs w:val="20"/>
          <w:color w:val="auto"/>
        </w:rPr>
        <w:tab/>
      </w:r>
      <w:r>
        <w:rPr>
          <w:rFonts w:ascii="Times New Roman" w:cs="Times New Roman" w:eastAsia="Times New Roman" w:hAnsi="Times New Roman"/>
          <w:sz w:val="17"/>
          <w:szCs w:val="17"/>
          <w:b w:val="1"/>
          <w:bCs w:val="1"/>
          <w:color w:val="auto"/>
        </w:rPr>
        <w:t>Security over Lenders’ 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22, each Lender may without consulting with or obtaining consent from the Company or the Third Party Security Provider, at any time charge, assign or otherwise create Security in or over (whether by way of collateral or otherwise) all or any of its rights under any Finance Document to secure obligations of that Lender including, without limitation:</w:t>
      </w:r>
    </w:p>
    <w:p>
      <w:pPr>
        <w:spacing w:after="0" w:line="203" w:lineRule="exact"/>
        <w:rPr>
          <w:sz w:val="20"/>
          <w:szCs w:val="20"/>
          <w:color w:val="auto"/>
        </w:rPr>
      </w:pPr>
    </w:p>
    <w:p>
      <w:pPr>
        <w:ind w:left="5540" w:right="2560" w:hanging="4884"/>
        <w:spacing w:after="0" w:line="783" w:lineRule="auto"/>
        <w:tabs>
          <w:tab w:leader="none" w:pos="131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225" w:lineRule="exact"/>
        <w:rPr>
          <w:sz w:val="20"/>
          <w:szCs w:val="20"/>
          <w:color w:val="auto"/>
        </w:rPr>
      </w:pPr>
    </w:p>
    <w:p>
      <w:pPr>
        <w:ind w:left="1960" w:hanging="656"/>
        <w:spacing w:after="0" w:line="282" w:lineRule="auto"/>
        <w:tabs>
          <w:tab w:leader="none" w:pos="19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other Security for the Lender as a party to any of the Finance Documents;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the Company or the Third Party Security Provider or grant to any person any more extensive rights than those required to be made or granted to the relevant Lender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22.13</w:t>
      </w:r>
      <w:r>
        <w:rPr>
          <w:sz w:val="20"/>
          <w:szCs w:val="20"/>
          <w:color w:val="auto"/>
        </w:rPr>
        <w:tab/>
      </w:r>
      <w:r>
        <w:rPr>
          <w:rFonts w:ascii="Times New Roman" w:cs="Times New Roman" w:eastAsia="Times New Roman" w:hAnsi="Times New Roman"/>
          <w:sz w:val="17"/>
          <w:szCs w:val="17"/>
          <w:b w:val="1"/>
          <w:bCs w:val="1"/>
          <w:color w:val="auto"/>
        </w:rPr>
        <w:t>Pro rata interest settlement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able to distribute interest payments on a “pro rata basis” to Existing Lenders and New Lenders then (in respect of any transfer pursuant to Clause 22.7 (</w:t>
      </w:r>
      <w:r>
        <w:rPr>
          <w:rFonts w:ascii="Times New Roman" w:cs="Times New Roman" w:eastAsia="Times New Roman" w:hAnsi="Times New Roman"/>
          <w:sz w:val="18"/>
          <w:szCs w:val="18"/>
          <w:i w:val="1"/>
          <w:iCs w:val="1"/>
          <w:color w:val="auto"/>
        </w:rPr>
        <w:t>Procedure for transfers</w:t>
      </w:r>
      <w:r>
        <w:rPr>
          <w:rFonts w:ascii="Times New Roman" w:cs="Times New Roman" w:eastAsia="Times New Roman" w:hAnsi="Times New Roman"/>
          <w:sz w:val="18"/>
          <w:szCs w:val="18"/>
          <w:color w:val="auto"/>
        </w:rPr>
        <w:t>) or any assignment pursuant to Clause 22.8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the Transfer Date of which, in each case, is after the date of such notification and is not on the last day of an Interest Period):</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8"/>
          <w:szCs w:val="18"/>
          <w:b w:val="1"/>
          <w:bCs w:val="1"/>
          <w:color w:val="auto"/>
        </w:rPr>
        <w:t>Accrued Amounts</w:t>
      </w:r>
      <w:r>
        <w:rPr>
          <w:rFonts w:ascii="Times New Roman" w:cs="Times New Roman" w:eastAsia="Times New Roman" w:hAnsi="Times New Roman"/>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183"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assigned or transferred by the Existing Lender will not include the right to the Accrued Amounts so that, for the avoidance of doubt:</w:t>
      </w:r>
    </w:p>
    <w:p>
      <w:pPr>
        <w:spacing w:after="0" w:line="188"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Accrued Amounts become payable, those Accrued Amounts will be payable for the account of the Existing Lender; and</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to the New Lender on that date will be the amount which would, but for the application of this Clause 22.13, have been payable to it on that date, but after deduction of the Accrued Amounts.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22.13 references to “Interest Period” shall be construed to include a reference to any other period for accrual of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ind w:left="660" w:hanging="652"/>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 ON DEBT PURCHASE TRANSACTIONS</w:t>
      </w:r>
    </w:p>
    <w:p>
      <w:pPr>
        <w:spacing w:after="0" w:line="25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procure that no member of the Group or Restricted Group shall (i) enter into any Debt Purchase Transaction other than in accordance with the other provisions of this Clause 23, or (ii) be, or beneficially own all or any part of the share capital of an entity that is, a Lender or a party to a Debt Purchase Transaction of the type referred to in paragraphs (b) or (c) of the definition of Debt Purchase Transaction.</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Investor Affiliate may enter into any Debt Purchase Transaction other than in accordance with the other provisions of this Clause 23.</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Group or Investor Affiliate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may purchase by way of assignment, pursuant to Clause 22 (</w:t>
      </w:r>
      <w:r>
        <w:rPr>
          <w:rFonts w:ascii="Times New Roman" w:cs="Times New Roman" w:eastAsia="Times New Roman" w:hAnsi="Times New Roman"/>
          <w:sz w:val="18"/>
          <w:szCs w:val="18"/>
          <w:i w:val="1"/>
          <w:iCs w:val="1"/>
          <w:color w:val="auto"/>
        </w:rPr>
        <w:t>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Lenders</w:t>
      </w:r>
      <w:r>
        <w:rPr>
          <w:rFonts w:ascii="Times New Roman" w:cs="Times New Roman" w:eastAsia="Times New Roman" w:hAnsi="Times New Roman"/>
          <w:sz w:val="18"/>
          <w:szCs w:val="18"/>
          <w:color w:val="auto"/>
        </w:rPr>
        <w:t>), a participation in any Facility B Loan and any related Commitment where:</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 is made for a consideration of less than par;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 is made using one of the processes set out in paragraphs (d) and (e) below;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purchase by a member of the Group:</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 is made at a time when no Event of Default is continuing;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such purchase is funded from New Shareholder Injections.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Purchase Transaction entered into by an Investor Affiliate or a member of the Group shall be entered into initially pursuant to a solicitation process (a “</w:t>
      </w:r>
      <w:r>
        <w:rPr>
          <w:rFonts w:ascii="Times New Roman" w:cs="Times New Roman" w:eastAsia="Times New Roman" w:hAnsi="Times New Roman"/>
          <w:sz w:val="18"/>
          <w:szCs w:val="18"/>
          <w:b w:val="1"/>
          <w:bCs w:val="1"/>
          <w:color w:val="auto"/>
        </w:rPr>
        <w:t>Solicitation Process</w:t>
      </w:r>
      <w:r>
        <w:rPr>
          <w:rFonts w:ascii="Times New Roman" w:cs="Times New Roman" w:eastAsia="Times New Roman" w:hAnsi="Times New Roman"/>
          <w:sz w:val="18"/>
          <w:szCs w:val="18"/>
          <w:color w:val="auto"/>
        </w:rPr>
        <w:t>”) which is carried out as follows.</w:t>
      </w:r>
    </w:p>
    <w:p>
      <w:pPr>
        <w:spacing w:after="0" w:line="184"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on a given Business Day (the “</w:t>
      </w:r>
      <w:r>
        <w:rPr>
          <w:rFonts w:ascii="Times New Roman" w:cs="Times New Roman" w:eastAsia="Times New Roman" w:hAnsi="Times New Roman"/>
          <w:sz w:val="18"/>
          <w:szCs w:val="18"/>
          <w:b w:val="1"/>
          <w:bCs w:val="1"/>
          <w:color w:val="auto"/>
        </w:rPr>
        <w:t>Solicitation day</w:t>
      </w:r>
      <w:r>
        <w:rPr>
          <w:rFonts w:ascii="Times New Roman" w:cs="Times New Roman" w:eastAsia="Times New Roman" w:hAnsi="Times New Roman"/>
          <w:sz w:val="18"/>
          <w:szCs w:val="18"/>
          <w:color w:val="auto"/>
        </w:rPr>
        <w:t>”), the relevant Purchaser or a financial institution acting on its behalf (the “</w:t>
      </w:r>
      <w:r>
        <w:rPr>
          <w:rFonts w:ascii="Times New Roman" w:cs="Times New Roman" w:eastAsia="Times New Roman" w:hAnsi="Times New Roman"/>
          <w:sz w:val="18"/>
          <w:szCs w:val="18"/>
          <w:b w:val="1"/>
          <w:bCs w:val="1"/>
          <w:color w:val="auto"/>
        </w:rPr>
        <w:t>Purchase Agent</w:t>
      </w:r>
      <w:r>
        <w:rPr>
          <w:rFonts w:ascii="Times New Roman" w:cs="Times New Roman" w:eastAsia="Times New Roman" w:hAnsi="Times New Roman"/>
          <w:sz w:val="18"/>
          <w:szCs w:val="18"/>
          <w:color w:val="auto"/>
        </w:rPr>
        <w:t>”) will approach at the same time each Lender which participates in the relevant Facility B Loan to invite them to offer to sell to the relevant Purchaser, an amount of their participation in one or more Facility B Loan. Any Lender wishing to make such an offer shall, by 11.00 a.m. on the second Business Day following such Solicitation day, communicate to the Purchase Agent details of the amount of its participations, and in which Facility B Loan, it is offering to sell and the price at which it is offering to sell such participations. Any such offer shall be irrevocable until 11.00 a.m. on the third Business Day following such Solicitation day and shall be capable of acceptance by the relevant Purchaser on or before such time by communicating its acceptance in writing to the Purchase Agent or, if it is the Purchase Agent, the relevant Lenders. The Purchase Agent (if someone other than the Purchaser) will communicate to the relevant Lenders which offers have been accepted by 12.00 p.m. on the third Business Day following such Solicitation day. In any event by 11.00 a.m. on the fourth Business Day following such Solicitation day, the Purchaser shall notify the Agent of the amounts of the participations purchased through the relevant Solicitation Process and the identity of the Facility B Loan to which they relate. The Agent shall disclose such information to any Lender that requests such disclosure.</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chooses to accept any offers made pursuant to a Solicitation Process the Purchaser shall be free to select which offers and in which amounts it accepts but on the basis that in relation to a participation in a particular Facility it accepts offers in inverse order of the price offered (with the offer or offers at the lowest price being accepted first) and that if in respect of participations in a particular Facility it receives two or more offers at the same price it shall only accept such offers on a pro rata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ind w:left="1304" w:hanging="656"/>
        <w:spacing w:after="0" w:line="282" w:lineRule="auto"/>
        <w:tabs>
          <w:tab w:leader="none" w:pos="130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of participations in the Facility B Loan pursuant to a Solicitation Process shall be completed and settled on or before the fifth Business Day after the relevant Solicitation day.</w:t>
      </w:r>
    </w:p>
    <w:p>
      <w:pPr>
        <w:spacing w:after="0" w:line="18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accepting any offers made pursuant to a Solicitation Process the Company shall be free to select which offers and in which amounts it accepts.</w:t>
      </w:r>
    </w:p>
    <w:p>
      <w:pPr>
        <w:spacing w:after="0" w:line="188"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a Solicitation Process, a Debt Purchase Transaction referred to in paragraph (b) above may also be entered into pursuant to a bilateral process (a “</w:t>
      </w:r>
      <w:r>
        <w:rPr>
          <w:rFonts w:ascii="Times New Roman" w:cs="Times New Roman" w:eastAsia="Times New Roman" w:hAnsi="Times New Roman"/>
          <w:sz w:val="18"/>
          <w:szCs w:val="18"/>
          <w:b w:val="1"/>
          <w:bCs w:val="1"/>
          <w:color w:val="auto"/>
        </w:rPr>
        <w:t>Bilateral Process</w:t>
      </w:r>
      <w:r>
        <w:rPr>
          <w:rFonts w:ascii="Times New Roman" w:cs="Times New Roman" w:eastAsia="Times New Roman" w:hAnsi="Times New Roman"/>
          <w:sz w:val="18"/>
          <w:szCs w:val="18"/>
          <w:color w:val="auto"/>
        </w:rPr>
        <w:t>”), which is carried out as follows:</w:t>
      </w:r>
    </w:p>
    <w:p>
      <w:pPr>
        <w:spacing w:after="0" w:line="189" w:lineRule="exact"/>
        <w:rPr>
          <w:sz w:val="20"/>
          <w:szCs w:val="20"/>
          <w:color w:val="auto"/>
        </w:rPr>
      </w:pPr>
    </w:p>
    <w:p>
      <w:pPr>
        <w:jc w:val="both"/>
        <w:ind w:left="1304" w:hanging="656"/>
        <w:spacing w:after="0" w:line="258" w:lineRule="auto"/>
        <w:tabs>
          <w:tab w:leader="none" w:pos="130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Purchaser may by itself or through the same or another Purchase Agent, at any time during the period commencing on the expiry of the relevant Solicitation Process and ending 30 days thereafter, purchase participations from Lenders pursuant to secondary market purchases and/or pursuant to such bilateral arrangements with any Lenders as the Purchaser shall see fit, provided that the purchase rate on such market purchases and bilateral arrangements during that 30-day period may not exceed the lowest purchase rate tendered by the Lenders during the Solicitation Process which was not accepted by that Purchaser;</w:t>
      </w:r>
    </w:p>
    <w:p>
      <w:pPr>
        <w:spacing w:after="0" w:line="210"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of participations in the Facility B Loan pursuant to a Bilateral Process shall be completed and settled by the relevant Purchaser on or before the second Business Day after the expiry of the Bilateral Process period referred to in (A) above; and</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Purchaser shall promptly notify the Agent of the amounts of each participation purchased through such Bilateral Process and the identity of the Facility B Loan to which they relate. The Agent shall promptly disclose such information to the Lenders.</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there is no limit on the number of occasions a Solicitation Process or Bilateral Process may be implemented.</w:t>
      </w:r>
    </w:p>
    <w:p>
      <w:pPr>
        <w:spacing w:after="0" w:line="252"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Debt Purchase Transaction entered into pursuant to this Clause 23, notwithstanding any other term of this Agreement or the other Finance Documents:</w:t>
      </w:r>
    </w:p>
    <w:p>
      <w:pPr>
        <w:spacing w:after="0" w:line="160" w:lineRule="exact"/>
        <w:rPr>
          <w:sz w:val="20"/>
          <w:szCs w:val="20"/>
          <w:color w:val="auto"/>
        </w:rPr>
      </w:pPr>
    </w:p>
    <w:p>
      <w:pPr>
        <w:ind w:left="1304" w:hanging="656"/>
        <w:spacing w:after="0" w:line="284"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of the relevant assignment or transfer pursuant to Clause 22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the portions of the Facility B Loans to which it relates shall be extinguished if the purchaser is a member of the Group;</w:t>
      </w:r>
    </w:p>
    <w:p>
      <w:pPr>
        <w:spacing w:after="0" w:line="160"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Purchase Transaction and the related extinguishment referred to in paragraph (i) above shall not constitute a prepayment of the Facility (and any applicable Call Price);</w:t>
      </w:r>
    </w:p>
    <w:p>
      <w:pPr>
        <w:spacing w:after="0" w:line="159" w:lineRule="exact"/>
        <w:rPr>
          <w:rFonts w:ascii="Times New Roman" w:cs="Times New Roman" w:eastAsia="Times New Roman" w:hAnsi="Times New Roman"/>
          <w:sz w:val="18"/>
          <w:szCs w:val="18"/>
          <w:color w:val="auto"/>
        </w:rPr>
      </w:pPr>
    </w:p>
    <w:p>
      <w:pPr>
        <w:ind w:left="1304" w:hanging="656"/>
        <w:spacing w:after="0" w:line="284"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which is the assignee shall be deemed to be an entity which fulfils the requirements of Clause 22.2 (</w:t>
      </w:r>
      <w:r>
        <w:rPr>
          <w:rFonts w:ascii="Times New Roman" w:cs="Times New Roman" w:eastAsia="Times New Roman" w:hAnsi="Times New Roman"/>
          <w:sz w:val="18"/>
          <w:szCs w:val="18"/>
          <w:i w:val="1"/>
          <w:iCs w:val="1"/>
          <w:color w:val="auto"/>
        </w:rPr>
        <w:t>Assignments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Transfers by Lenders</w:t>
      </w:r>
      <w:r>
        <w:rPr>
          <w:rFonts w:ascii="Times New Roman" w:cs="Times New Roman" w:eastAsia="Times New Roman" w:hAnsi="Times New Roman"/>
          <w:sz w:val="18"/>
          <w:szCs w:val="18"/>
          <w:color w:val="auto"/>
        </w:rPr>
        <w:t>) to be a New Lender (as defined in such Clause);</w:t>
      </w:r>
    </w:p>
    <w:p>
      <w:pPr>
        <w:spacing w:after="0" w:line="158" w:lineRule="exact"/>
        <w:rPr>
          <w:rFonts w:ascii="Times New Roman" w:cs="Times New Roman" w:eastAsia="Times New Roman" w:hAnsi="Times New Roman"/>
          <w:sz w:val="18"/>
          <w:szCs w:val="18"/>
          <w:color w:val="auto"/>
        </w:rPr>
      </w:pPr>
    </w:p>
    <w:p>
      <w:pPr>
        <w:ind w:left="1304" w:hanging="656"/>
        <w:spacing w:after="0" w:line="284"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Group shall be deemed to be in breach of any provision of Clauses 20.23 (</w:t>
      </w:r>
      <w:r>
        <w:rPr>
          <w:rFonts w:ascii="Times New Roman" w:cs="Times New Roman" w:eastAsia="Times New Roman" w:hAnsi="Times New Roman"/>
          <w:sz w:val="18"/>
          <w:szCs w:val="18"/>
          <w:i w:val="1"/>
          <w:iCs w:val="1"/>
          <w:color w:val="auto"/>
        </w:rPr>
        <w:t>Acquisitions and Investments</w:t>
      </w:r>
      <w:r>
        <w:rPr>
          <w:rFonts w:ascii="Times New Roman" w:cs="Times New Roman" w:eastAsia="Times New Roman" w:hAnsi="Times New Roman"/>
          <w:sz w:val="18"/>
          <w:szCs w:val="18"/>
          <w:color w:val="auto"/>
        </w:rPr>
        <w:t>), 20.29 (</w:t>
      </w:r>
      <w:r>
        <w:rPr>
          <w:rFonts w:ascii="Times New Roman" w:cs="Times New Roman" w:eastAsia="Times New Roman" w:hAnsi="Times New Roman"/>
          <w:sz w:val="18"/>
          <w:szCs w:val="18"/>
          <w:i w:val="1"/>
          <w:iCs w:val="1"/>
          <w:color w:val="auto"/>
        </w:rPr>
        <w:t>Holding Company</w:t>
      </w:r>
      <w:r>
        <w:rPr>
          <w:rFonts w:ascii="Times New Roman" w:cs="Times New Roman" w:eastAsia="Times New Roman" w:hAnsi="Times New Roman"/>
          <w:sz w:val="18"/>
          <w:szCs w:val="18"/>
          <w:color w:val="auto"/>
        </w:rPr>
        <w:t>), 20.16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or 20.18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solely by reason of such Debt Purchase Transaction;</w:t>
      </w:r>
    </w:p>
    <w:p>
      <w:pPr>
        <w:spacing w:after="0" w:line="3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5" w:name="page106"/>
    <w:bookmarkEnd w:id="105"/>
    <w:p>
      <w:pPr>
        <w:ind w:left="1304" w:right="20" w:hanging="656"/>
        <w:spacing w:after="0" w:line="284" w:lineRule="auto"/>
        <w:tabs>
          <w:tab w:leader="none" w:pos="130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28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shall not be applicable to the consideration paid under such Debt Purchase Transaction;</w:t>
      </w:r>
    </w:p>
    <w:p>
      <w:pPr>
        <w:spacing w:after="0" w:line="160"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extinguishment of any part of the Facility B Loans shall not affect any amendment or waiver which prior to such extinguishment had been approved by or on behalf of the requisite Lender or Lenders in accordance with this Agreement; and</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which completes a Debt Purchase Transaction shall be entitled to exercise any rights or be entitled to any payment pursuant to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member of the Group or an Investor Affiliate or other Purchaser:</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a Commitment; or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into a sub-participation agreement relating to a Commitment or other agreement or arrangement having a substantially similar economic effect and such agreement or arrangement has not been terminated, in ascertaining:</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252"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225"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3"/>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or</w:t>
      </w:r>
    </w:p>
    <w:p>
      <w:pPr>
        <w:spacing w:after="0" w:line="225" w:lineRule="exact"/>
        <w:rPr>
          <w:sz w:val="20"/>
          <w:szCs w:val="20"/>
          <w:color w:val="auto"/>
        </w:rPr>
      </w:pPr>
    </w:p>
    <w:p>
      <w:pPr>
        <w:ind w:left="2584" w:hanging="640"/>
        <w:spacing w:after="0"/>
        <w:tabs>
          <w:tab w:leader="none" w:pos="25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225" w:lineRule="exact"/>
        <w:rPr>
          <w:sz w:val="20"/>
          <w:szCs w:val="20"/>
          <w:color w:val="auto"/>
        </w:rPr>
      </w:pPr>
    </w:p>
    <w:p>
      <w:pPr>
        <w:jc w:val="both"/>
        <w:ind w:left="1304"/>
        <w:spacing w:after="0" w:line="258"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 such Commitment shall be deemed to be zero and such member of the Group or an Investor Affiliate or other Purchaser or the person with whom it has entered into such sub-participation, other agreement or arrangement shall be deemed not to be a Lender for the purposes of paragraphs (A) and (B) above (unless in the case of a person not being an Investor Affiliate it is a Lender by virtue otherwise than by beneficially owning the relevant Commitment).</w:t>
      </w:r>
    </w:p>
    <w:p>
      <w:pPr>
        <w:spacing w:after="0" w:line="183" w:lineRule="exact"/>
        <w:rPr>
          <w:sz w:val="20"/>
          <w:szCs w:val="20"/>
          <w:color w:val="auto"/>
        </w:rPr>
      </w:pPr>
    </w:p>
    <w:p>
      <w:pPr>
        <w:ind w:left="644" w:hanging="644"/>
        <w:spacing w:after="0"/>
        <w:tabs>
          <w:tab w:leader="none" w:pos="6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Group or other Purchaser that becomes a Lender pursuant to this Clause 23 and each Investor Affiliate agrees that: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meeting or conference call to which all the Lenders are invited to attend or participate, unless the Agent otherwise agrees, it shall not attend or participate in the same or be entitled to receive the agenda or any minutes of the same; and</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Lender, unless the Agent otherwise agrees, it shall not be entitled to receive any report or other document prepared at the behest of, or on the instructions of, the Agent or one or more of the Lenders.</w:t>
      </w:r>
    </w:p>
    <w:p>
      <w:pPr>
        <w:spacing w:after="0" w:line="189" w:lineRule="exact"/>
        <w:rPr>
          <w:sz w:val="20"/>
          <w:szCs w:val="20"/>
          <w:color w:val="auto"/>
        </w:rPr>
      </w:pPr>
    </w:p>
    <w:p>
      <w:pPr>
        <w:jc w:val="both"/>
        <w:ind w:left="644" w:hanging="644"/>
        <w:spacing w:after="0" w:line="261" w:lineRule="auto"/>
        <w:tabs>
          <w:tab w:leader="none" w:pos="64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unless the Debt Purchase Transaction is an assignment or transfer, promptly notify the Agent in writing if it knowingly enters into a Debt Purchase Transaction with a member of the Group or an Investor Affiliate (a “</w:t>
      </w:r>
      <w:r>
        <w:rPr>
          <w:rFonts w:ascii="Times New Roman" w:cs="Times New Roman" w:eastAsia="Times New Roman" w:hAnsi="Times New Roman"/>
          <w:sz w:val="18"/>
          <w:szCs w:val="18"/>
          <w:b w:val="1"/>
          <w:bCs w:val="1"/>
          <w:color w:val="auto"/>
        </w:rPr>
        <w:t>Notifiable Debt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such notification to be substantially in the form set out in Part 1 of Schedule 7 (</w:t>
      </w:r>
      <w:r>
        <w:rPr>
          <w:rFonts w:ascii="Times New Roman" w:cs="Times New Roman" w:eastAsia="Times New Roman" w:hAnsi="Times New Roman"/>
          <w:sz w:val="18"/>
          <w:szCs w:val="18"/>
          <w:i w:val="1"/>
          <w:iCs w:val="1"/>
          <w:color w:val="auto"/>
        </w:rPr>
        <w:t>Forms of Notifiable Debt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Transaction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promptly notify the Agent if a Notifiable Debt Purchase Transaction to which it is a party is terminated or ceases to be with a member of the Group or an Investor Affiliate, such notification to be substantially in the form set out in Part 2 of Schedule 7 (</w:t>
      </w:r>
      <w:r>
        <w:rPr>
          <w:rFonts w:ascii="Times New Roman" w:cs="Times New Roman" w:eastAsia="Times New Roman" w:hAnsi="Times New Roman"/>
          <w:sz w:val="18"/>
          <w:szCs w:val="18"/>
          <w:i w:val="1"/>
          <w:iCs w:val="1"/>
          <w:color w:val="auto"/>
        </w:rPr>
        <w:t>Forms of Notifiable Debt Purchase Transaction Notice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106" w:name="page107"/>
    <w:bookmarkEnd w:id="106"/>
    <w:p>
      <w:pPr>
        <w:ind w:left="660" w:hanging="652"/>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COMPANY AND THIRD PARTY SECURITY PROVIDER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b w:val="1"/>
          <w:bCs w:val="1"/>
          <w:color w:val="auto"/>
        </w:rPr>
        <w:t>Assignment and transfers by the Company and Third Party Security Provider</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and the Third Party Security Provider may not assign any of its rights or transfer any of its rights or obligations under the Finance Documents.</w:t>
      </w:r>
    </w:p>
    <w:p>
      <w:pPr>
        <w:spacing w:after="0" w:line="158" w:lineRule="exact"/>
        <w:rPr>
          <w:sz w:val="20"/>
          <w:szCs w:val="20"/>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ROLE OF THE AGENT AND OTHERS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b w:val="1"/>
          <w:bCs w:val="1"/>
          <w:color w:val="auto"/>
        </w:rPr>
        <w:t>Appointment of the Agent and the Security Agent</w:t>
      </w:r>
    </w:p>
    <w:p>
      <w:pPr>
        <w:spacing w:after="0" w:line="256" w:lineRule="exact"/>
        <w:rPr>
          <w:sz w:val="20"/>
          <w:szCs w:val="20"/>
          <w:color w:val="auto"/>
        </w:rPr>
      </w:pPr>
    </w:p>
    <w:p>
      <w:pPr>
        <w:ind w:left="1300" w:hanging="644"/>
        <w:spacing w:after="0"/>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Finance Party appoints the Agent to act as its agent under and in connection with the Finance Documents.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declares that it holds the Transaction Security on trust for the Secured Parties on the terms contained in this Agreement.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Finance Party authorises the Agent and the Security Agent to exercise the rights, powers, authorities and discretions specifically given to the Agent under or in connection with the Finance Documents together with any other incidental rights, powers, authorities and discretions.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Finance Party hereby relieves the Agent and Security Agent from the restrictions pursuant to any applicable restrictions of self-dealing under any applicable laws of any relevant jurisdiction, in each case to the extent legally possible to such Finance Party. A Finance Party which is barred by its constitutional documents or by-laws from granting such exemption shall notify the Agent promptly.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b w:val="1"/>
          <w:bCs w:val="1"/>
          <w:color w:val="auto"/>
        </w:rPr>
        <w:t>Enforcement through Security Agent only</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Secured Parties shall not have any independent power to enforce, or have recourse to, any of the Transaction Security or to exercise any right, power, authority or discretion arising under the Transaction Security Documents except through the Security Agent.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7"/>
          <w:szCs w:val="17"/>
          <w:b w:val="1"/>
          <w:bCs w:val="1"/>
          <w:color w:val="auto"/>
        </w:rPr>
        <w:t>Duties of the Agent and the Security Agent</w:t>
      </w:r>
    </w:p>
    <w:p>
      <w:pPr>
        <w:spacing w:after="0" w:line="229" w:lineRule="exact"/>
        <w:rPr>
          <w:sz w:val="20"/>
          <w:szCs w:val="20"/>
          <w:color w:val="auto"/>
        </w:rPr>
      </w:pPr>
    </w:p>
    <w:p>
      <w:pPr>
        <w:ind w:left="1300" w:hanging="644"/>
        <w:spacing w:after="0"/>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Agent and the Security Agent under the Finance Documents are solely mechanical and administrative in nature.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of the Agent and Security Agent shall promptly forward to a Party the original or a copy of any document which is delivered to the Agent or Security Agent (as applicable) for that Party by any other Party.</w:t>
      </w:r>
    </w:p>
    <w:p>
      <w:pPr>
        <w:spacing w:after="0" w:line="186"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22.10 (</w:t>
      </w:r>
      <w:r>
        <w:rPr>
          <w:rFonts w:ascii="Times New Roman" w:cs="Times New Roman" w:eastAsia="Times New Roman" w:hAnsi="Times New Roman"/>
          <w:sz w:val="18"/>
          <w:szCs w:val="18"/>
          <w:i w:val="1"/>
          <w:iCs w:val="1"/>
          <w:color w:val="auto"/>
        </w:rPr>
        <w:t>The Register</w:t>
      </w:r>
      <w:r>
        <w:rPr>
          <w:rFonts w:ascii="Times New Roman" w:cs="Times New Roman" w:eastAsia="Times New Roman" w:hAnsi="Times New Roman"/>
          <w:sz w:val="18"/>
          <w:szCs w:val="18"/>
          <w:color w:val="auto"/>
        </w:rPr>
        <w:t>) and 22.11 (</w:t>
      </w:r>
      <w:r>
        <w:rPr>
          <w:rFonts w:ascii="Times New Roman" w:cs="Times New Roman" w:eastAsia="Times New Roman" w:hAnsi="Times New Roman"/>
          <w:sz w:val="18"/>
          <w:szCs w:val="18"/>
          <w:i w:val="1"/>
          <w:iCs w:val="1"/>
          <w:color w:val="auto"/>
        </w:rPr>
        <w:t>Copy of Transfer Certificate or Assignment Agreement to Company</w:t>
      </w:r>
      <w:r>
        <w:rPr>
          <w:rFonts w:ascii="Times New Roman" w:cs="Times New Roman" w:eastAsia="Times New Roman" w:hAnsi="Times New Roman"/>
          <w:sz w:val="18"/>
          <w:szCs w:val="18"/>
          <w:color w:val="auto"/>
        </w:rPr>
        <w:t>), paragraph (a) shall not apply to any Transfer Certificate or Assignment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ind w:left="1300" w:hanging="644"/>
        <w:spacing w:after="0" w:line="282"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neither the Agent nor the Security Agent is obliged to review or check the adequacy, accuracy or completeness of any document it forwards to another Party.</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or the Security Agent receives notice from a Party referring to any Finance Document, describing a Default and stating that the circumstance described is a Default, it shall promptly notify the other Finance Parties.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or the Security Agent) under this Agreement it shall promptly notify the other Finance Parties.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to the Company, within five (5) Business Days of a request by the Company (but no more frequently than once per calendar month),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21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becoming an Impaired Agent the Company shall provide a copy of the list of all the Lenders to each Finance Party.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shall have only those duties, obligations and responsibilities expressly specified in the Finance Documents to which it is expressed to be a party (and no others shall be implied).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256" w:lineRule="exact"/>
        <w:rPr>
          <w:sz w:val="20"/>
          <w:szCs w:val="20"/>
          <w:color w:val="auto"/>
        </w:rPr>
      </w:pPr>
    </w:p>
    <w:p>
      <w:pPr>
        <w:ind w:left="1300" w:hanging="644"/>
        <w:spacing w:after="0"/>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as a trustee or fiduciary of any other person;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as an agent, trustee or fiduciary of the Company or the Third Party Security Provider.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Agent or the Security Agent shall be bound to account to any Lender for any sum or the profit element of any sum received by it for its own account.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Agent and the Security Agent may accept deposits from, lend money to and generally engage in any kind of banking or other business with any member of the Group.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256" w:lineRule="exact"/>
        <w:rPr>
          <w:sz w:val="20"/>
          <w:szCs w:val="20"/>
          <w:color w:val="auto"/>
        </w:rPr>
      </w:pPr>
    </w:p>
    <w:p>
      <w:pPr>
        <w:ind w:left="1300" w:hanging="644"/>
        <w:spacing w:after="0"/>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Security Agent may:</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notice or document believed by it to be genuine, correct and appropriately authorised;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1304" w:hanging="656"/>
        <w:spacing w:after="0"/>
        <w:tabs>
          <w:tab w:leader="none" w:pos="130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252"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Lenders or any group of Lenders are duly given in accordance with the terms of the Finance Documents;</w:t>
      </w:r>
    </w:p>
    <w:p>
      <w:pPr>
        <w:spacing w:after="0" w:line="188"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statement made by a director, authorised signatory or employee of any person regarding any matters which may reasonably be assumed to be within his knowledge or within his power to verify;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252"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304"/>
        <w:spacing w:after="0" w:line="282" w:lineRule="auto"/>
        <w:rPr>
          <w:sz w:val="20"/>
          <w:szCs w:val="20"/>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w:t>
      </w:r>
    </w:p>
    <w:p>
      <w:pPr>
        <w:spacing w:after="0" w:line="162" w:lineRule="exact"/>
        <w:rPr>
          <w:sz w:val="20"/>
          <w:szCs w:val="20"/>
          <w:color w:val="auto"/>
        </w:rPr>
      </w:pPr>
    </w:p>
    <w:p>
      <w:pPr>
        <w:ind w:left="644" w:right="20" w:hanging="644"/>
        <w:spacing w:after="0" w:line="282" w:lineRule="auto"/>
        <w:tabs>
          <w:tab w:leader="none" w:pos="64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assume (unless it has received notice to the contrary in its capacity as agent for the Lenders) that:</w:t>
      </w:r>
    </w:p>
    <w:p>
      <w:pPr>
        <w:spacing w:after="0" w:line="186"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21.1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the Majority Lenders has not been exercised;</w:t>
      </w:r>
    </w:p>
    <w:p>
      <w:pPr>
        <w:spacing w:after="0" w:line="252"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Company is made on behalf of and with the consent and knowledge of the Company and the Third Party Security Provider;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Notifiable Debt Purchase Transaction:</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w:t>
      </w:r>
    </w:p>
    <w:p>
      <w:pPr>
        <w:spacing w:after="0" w:line="252"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terminated; or</w:t>
      </w:r>
    </w:p>
    <w:p>
      <w:pPr>
        <w:spacing w:after="0" w:line="252"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with a member of the Group.</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Security Agent may engage, pay for and rely on the advice or services of any lawyers, accountants, surveyors or other professional advisors or experts, and the Agent or Security Agent (as applicable) shall not be liable for any damages, costs or losses to any person, any diminution in value or any liability whatsoever arising as a result of its so relying, unless caused by its gross negligence or wilful misconduct.</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9" w:name="page110"/>
    <w:bookmarkEnd w:id="109"/>
    <w:p>
      <w:pPr>
        <w:ind w:left="1300" w:right="20" w:hanging="644"/>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act in relation to the Finance Documents through its officers, employees and agents, and the Agent and the Security Agent shall not:</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error of judgment made by any such person; or</w:t>
      </w:r>
    </w:p>
    <w:p>
      <w:pPr>
        <w:spacing w:after="0" w:line="252"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to supervise, or be in any way responsible for, any loss incurred by reason of misconduct, omission or default on the part of any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such error or such loss was directly caused by the Agent’s gross negligence or wilful misconduct.</w:t>
      </w:r>
    </w:p>
    <w:p>
      <w:pPr>
        <w:spacing w:after="0" w:line="252" w:lineRule="exact"/>
        <w:rPr>
          <w:sz w:val="20"/>
          <w:szCs w:val="20"/>
          <w:color w:val="auto"/>
        </w:rPr>
      </w:pPr>
    </w:p>
    <w:p>
      <w:pPr>
        <w:ind w:left="130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Security Agent may disclose to any other Party any information it reasonably believes it has received as agent, security agent or security trustee under the Finance Documents.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(e) above, the Agent may disclose the identity of a Defaulting Lender to the other Finance Parties and the Company, and shall disclose the same upon the written request of the Company or the Majority Lenders.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neither of the Agent nor the Security Agent is obliged to do or omit to do anything if it would or might in its reasonable opinion constitute a breach of any law or regulation or a breach of a fiduciary duty or duty of confidentiality.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the Agent and the Security Agent may at any time engage and pay for the services of any lawyers to act as independent counsel to the Agent and/or the Security Agent (and so separate from any lawyers instructed by the Lenders) if the Agent and/or Security Agent in its reasonable opinion deems this to be desirable.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each of the Agent and the Security Agent may disclose to any other Party any information it reasonably believes it has received as agent under the Finance Documents.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neither the Agent nor the Security Agent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or prefunding for, such risk or liability is not reasonably assured to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7"/>
          <w:szCs w:val="17"/>
          <w:b w:val="1"/>
          <w:bCs w:val="1"/>
          <w:color w:val="auto"/>
        </w:rPr>
        <w:t>Majority Lenders’ instructions</w:t>
      </w:r>
    </w:p>
    <w:p>
      <w:pPr>
        <w:spacing w:after="0" w:line="229" w:lineRule="exact"/>
        <w:rPr>
          <w:sz w:val="20"/>
          <w:szCs w:val="20"/>
          <w:color w:val="auto"/>
        </w:rPr>
      </w:pPr>
    </w:p>
    <w:p>
      <w:pPr>
        <w:ind w:left="1300" w:hanging="644"/>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each of the Agent and Security Agent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power, authority or discretion vested in it as Agent or Security Agent (as applicable) in accordance with any instructions given to it by:</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(or, if so instructed by all the Lenders, refrain from exercising any right, power, authority or discretion vested in it as Agent or Security Agent (as applicable)) if the relevant Finance Document stipulates that the matter is an all Lender decision; and</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 if so instructed by the Majority Lenders, refrain from exercising any right, power, authority or discretion vested in it as Agent or Security Agent (as applicable)) if the relevant Finance Document stipulates that the matter is a Majority Lender decision;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1960" w:hanging="656"/>
        <w:spacing w:after="0" w:line="282" w:lineRule="auto"/>
        <w:tabs>
          <w:tab w:leader="none" w:pos="19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taking any action) in accordance with paragraph (a)(i) of this Clause 25.7.</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or the Security Agent (as applicable) may refrain from acting unless and until it receives any such instructions or clarification that it has requested.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or the Security Agent (as applicable) by the Majority Lenders shall override any conflicting instructions given by any other Parties and will be binding on all Finance Parties.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any instructions given by the Majority Lenders will be binding on all the Finance Parties other than the Security Agent.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refrain from acting in accordance with the instructions of the Majority Lenders (or, if appropriate, the Lenders) until it has received any indemnification and/or security as it may in its discretion (acting reasonably) require (which may be greater in extent than that contained in the Finance Documents and which may include payment in advance) for any cost, loss or liability (together with any associated VAT) which it may incur in complying with the instructions.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instructions from the Majority Lenders, (or, if appropriate, the Lenders) each of the Agent and the Security Agent may act (or refrain from taking action) as it considers to be in the best interest of the Lenders.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Security Agent is authorised to act on behalf of a Lender (without first obtaining that Lender’s consent) in any legal or arbitration proceedings relating to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25.8</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Agent nor Security Agent: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or liable for the adequacy, accuracy and/or completeness of any information (whether oral or written) supplied by the Agent, the Security Agent, the Company, the Third Party Security Provider or any other person given in or in connection with any Finance Document or the transactions contemplated in the Finance Documents;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or liable for the legality, validity, effectiveness, adequacy or enforceability of any Finance Document or the Transaction Security or any other agreement, arrangement or document entered into, made or executed in anticipation of or in connection with any Finance Document or the Transaction Security;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ind w:left="1300" w:hanging="644"/>
        <w:spacing w:after="0" w:line="282"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or liable for 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25.9</w:t>
      </w:r>
      <w:r>
        <w:rPr>
          <w:sz w:val="20"/>
          <w:szCs w:val="20"/>
          <w:color w:val="auto"/>
        </w:rPr>
        <w:tab/>
      </w:r>
      <w:r>
        <w:rPr>
          <w:rFonts w:ascii="Times New Roman" w:cs="Times New Roman" w:eastAsia="Times New Roman" w:hAnsi="Times New Roman"/>
          <w:sz w:val="18"/>
          <w:szCs w:val="18"/>
          <w:b w:val="1"/>
          <w:bCs w:val="1"/>
          <w:color w:val="auto"/>
        </w:rPr>
        <w:t>No duty to monitor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Neither the Agent nor the Security Agent shall be bound to enquire:</w:t>
      </w:r>
    </w:p>
    <w:p>
      <w:pPr>
        <w:spacing w:after="0" w:line="229" w:lineRule="exact"/>
        <w:rPr>
          <w:sz w:val="20"/>
          <w:szCs w:val="20"/>
          <w:color w:val="auto"/>
        </w:rPr>
      </w:pPr>
    </w:p>
    <w:p>
      <w:pPr>
        <w:ind w:left="1300" w:hanging="644"/>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25.10</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the provisions of paragraph (e) of Clause 29.11 (</w:t>
      </w:r>
      <w:r>
        <w:rPr>
          <w:rFonts w:ascii="Times New Roman" w:cs="Times New Roman" w:eastAsia="Times New Roman" w:hAnsi="Times New Roman"/>
          <w:sz w:val="18"/>
          <w:szCs w:val="18"/>
          <w:i w:val="1"/>
          <w:iCs w:val="1"/>
          <w:color w:val="auto"/>
        </w:rPr>
        <w:t>Disruption to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etc.</w:t>
      </w:r>
      <w:r>
        <w:rPr>
          <w:rFonts w:ascii="Times New Roman" w:cs="Times New Roman" w:eastAsia="Times New Roman" w:hAnsi="Times New Roman"/>
          <w:sz w:val="18"/>
          <w:szCs w:val="18"/>
          <w:color w:val="auto"/>
        </w:rPr>
        <w:t>)), none of the Agent, the Security Agent or any Receiver or Delegate will be liable (including, without limitation,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negligence or any other category of liability whatsoever) (unless directly caused by its gross negligence or wilful misconduct) for: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or the Transaction Security;</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or</w:t>
      </w:r>
    </w:p>
    <w:p>
      <w:pPr>
        <w:spacing w:after="0" w:line="20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arising as a result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225"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83" w:lineRule="exact"/>
        <w:rPr>
          <w:sz w:val="20"/>
          <w:szCs w:val="20"/>
          <w:color w:val="auto"/>
        </w:rPr>
      </w:pPr>
    </w:p>
    <w:p>
      <w:pPr>
        <w:jc w:val="both"/>
        <w:ind w:left="1300" w:hanging="644"/>
        <w:spacing w:after="0" w:line="258" w:lineRule="auto"/>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the Security Agent, that Receiver or that Delegate (as applicable)) may take any proceedings against any officer, employee or agent of the Agent, the Security Agent, a Receiver or a Delegate in respect of any claim it might have against the Agent, the Security Agent, a Receiver or a Delegate or in respect of any act or omission of any kind by that officer, employee or agent in relation to any Finance Document or any Transaction Document and any officer, employee or agent of the Agent the Security Agent, a Receiver or a Delegate may rely on this Clause subject to Clause 1.6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left="1300" w:hanging="644"/>
        <w:spacing w:after="0" w:line="261"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Security Agent will be liable for any delay (or any related consequences) in crediting an account with an amount required under the Finance Documents to be paid by the Agent or the Security Agent (as applicable) if the Agent or the Security Agent (as applicable) has taken all necessary steps as soon as reasonably practicable to comply with the regulations or operating procedures of any recognised clearing or settlement system used by the Agent or the Security Agent (as applicable) for that purpose.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or the Security Agent to carry out any “</w:t>
      </w:r>
      <w:r>
        <w:rPr>
          <w:rFonts w:ascii="Times New Roman" w:cs="Times New Roman" w:eastAsia="Times New Roman" w:hAnsi="Times New Roman"/>
          <w:sz w:val="18"/>
          <w:szCs w:val="18"/>
          <w:b w:val="1"/>
          <w:bCs w:val="1"/>
          <w:color w:val="auto"/>
        </w:rPr>
        <w:t>know your customer</w:t>
      </w:r>
      <w:r>
        <w:rPr>
          <w:rFonts w:ascii="Times New Roman" w:cs="Times New Roman" w:eastAsia="Times New Roman" w:hAnsi="Times New Roman"/>
          <w:sz w:val="18"/>
          <w:szCs w:val="18"/>
          <w:color w:val="auto"/>
        </w:rPr>
        <w:t>” or other checks in relation to any person on behalf of any Lender, and each Lender confirms to the Agent and the Security Agent that it is solely responsible for any such checks it is required to carry out and that it may not rely on any statement in relation to such checks made by the Agent or the Security Agent.</w:t>
      </w:r>
    </w:p>
    <w:p>
      <w:pPr>
        <w:spacing w:after="0" w:line="3"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liability of the Agent, the Security Agent, any Receiver or Delegate, any liability of the Agent, the Security Agent, any Receiver or Delegate arising under or in connection with any Finance Document shall be limited to the amount of actual loss which has been suffered (as determined by reference to the date of default of the Agent, the Security Agent, any Receiver or Delegate or, if later, the date on which the loss arises as a result of such default), but without reference to any special conditions or circumstances known to the Agent, the Security Agent, any Receiver or Delegate at any time which increase the amount of that loss. In no event shall the Agent, the Security Agent, any Receiver or Delegate be liable for any loss of profits, goodwill, reputation, business opportunity or anticipated saving, or for special, punitive, indirect or consequential damages, whether or not the Agent, the Security Agent, any Receiver or Delegate has been advised of the possibility of such loss or damages.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25.11</w:t>
      </w:r>
      <w:r>
        <w:rPr>
          <w:sz w:val="20"/>
          <w:szCs w:val="20"/>
          <w:color w:val="auto"/>
        </w:rPr>
        <w:tab/>
      </w:r>
      <w:r>
        <w:rPr>
          <w:rFonts w:ascii="Times New Roman" w:cs="Times New Roman" w:eastAsia="Times New Roman" w:hAnsi="Times New Roman"/>
          <w:sz w:val="17"/>
          <w:szCs w:val="17"/>
          <w:b w:val="1"/>
          <w:bCs w:val="1"/>
          <w:color w:val="auto"/>
        </w:rPr>
        <w:t>Lenders’ indemnity to the Agent and Security Agent</w:t>
      </w:r>
    </w:p>
    <w:p>
      <w:pPr>
        <w:spacing w:after="0" w:line="256" w:lineRule="exact"/>
        <w:rPr>
          <w:sz w:val="20"/>
          <w:szCs w:val="20"/>
          <w:color w:val="auto"/>
        </w:rPr>
      </w:pPr>
    </w:p>
    <w:p>
      <w:pPr>
        <w:jc w:val="both"/>
        <w:ind w:left="1300" w:hanging="644"/>
        <w:spacing w:after="0" w:line="258" w:lineRule="auto"/>
        <w:tabs>
          <w:tab w:leader="none" w:pos="1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proportion to its participations in the Utilisations) indemnify the Agent, the Security Agent and every Receiver and every Delegate within three (3) Business Days of demand, against any cost, loss or liability incurred by the Agent, the Security Agent, a Receiver and/or a Delegate (otherwise than by reason of its gross negligence or wilful misconduct) in acting as Agent, Security Agent, Receiver or Delegate under the Finance Documents (unless the relevant Agent, Security Agent, Receiver or Delegate has been reimbursed by the Company pursuant to a Finance Document).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indemnity given by the Lenders under or in connection with this Agreement is a continuing obligation, independent of the Lenders’ other obligations under or in connection with that or any other Finance Document and survives after that Finance Document is terminated. It is not necessary for a person to pay any amount or incur any expense before enforcing an indemnity under or in connection with this Agreement or any other Finance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25.12</w:t>
      </w:r>
      <w:r>
        <w:rPr>
          <w:sz w:val="20"/>
          <w:szCs w:val="20"/>
          <w:color w:val="auto"/>
        </w:rPr>
        <w:tab/>
      </w:r>
      <w:r>
        <w:rPr>
          <w:rFonts w:ascii="Times New Roman" w:cs="Times New Roman" w:eastAsia="Times New Roman" w:hAnsi="Times New Roman"/>
          <w:sz w:val="17"/>
          <w:szCs w:val="17"/>
          <w:b w:val="1"/>
          <w:bCs w:val="1"/>
          <w:color w:val="auto"/>
        </w:rPr>
        <w:t>Resignation of the Agent and the Security Agent</w:t>
      </w:r>
    </w:p>
    <w:p>
      <w:pPr>
        <w:spacing w:after="0" w:line="256" w:lineRule="exact"/>
        <w:rPr>
          <w:sz w:val="20"/>
          <w:szCs w:val="20"/>
          <w:color w:val="auto"/>
        </w:rPr>
      </w:pPr>
    </w:p>
    <w:p>
      <w:pPr>
        <w:ind w:left="130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resign and appoint one of its Affiliates acting through an office in the United Kingdom as successor by giving notice to the Lenders and the Company.</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or the Security Agent may resign by giving 30 days’ notice to the other Finance Parties and the Company, in which case the Majority Lenders (after consultation with the Company) may appoint a successor Agent or Security Agent (as applicable) (acting through an office in the United Kingdom).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or Security Agent in accordance with paragraph (b) above within 20 days after notice of resignation was given, the retiring Agent or Security Agent (as applicable) (after consultation with the Company) may appoint a successor Agent or Security Agent (as applicable) (acting through an office in the United Kingdom).</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25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1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or Security Agent (as applicable) shall, at its own cost, make available to the successor Agent or Security Agent (as applicable) such documents and records, and provide such assistance as the successor Agent or Security Agent (as applicable) may reasonably request for the purposes of performing its functions as Agent under the Finance Documents.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Security Agent’s resignation notice shall only take effect upon:</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successor;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the transfer of the Transaction Security to that successor.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the retiring Agent or Security Agent (as applicable) shall be discharged from any further obligation in respect of the Finance Documents but shall remain entitled to the benefit of this Clause 25. Any successor and each of the other Parties shall have the same rights and obligations amongst themselves as they would have had if such successor had been an original Party.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(c) above) if on or after the date which is 3 months before the earliest FATCA Application Date relating to any payment to the Agent under the Finance Documents, either:</w:t>
      </w:r>
    </w:p>
    <w:p>
      <w:pPr>
        <w:spacing w:after="0" w:line="173" w:lineRule="exact"/>
        <w:rPr>
          <w:rFonts w:ascii="Times New Roman" w:cs="Times New Roman" w:eastAsia="Times New Roman" w:hAnsi="Times New Roman"/>
          <w:sz w:val="18"/>
          <w:szCs w:val="18"/>
          <w:color w:val="auto"/>
        </w:rPr>
      </w:pPr>
    </w:p>
    <w:p>
      <w:pPr>
        <w:ind w:left="1960" w:hanging="656"/>
        <w:spacing w:after="0" w:line="315" w:lineRule="auto"/>
        <w:tabs>
          <w:tab w:leader="none" w:pos="1960"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fails to respond to a request under Clause 12.7 (</w:t>
      </w:r>
      <w:r>
        <w:rPr>
          <w:rFonts w:ascii="Times New Roman" w:cs="Times New Roman" w:eastAsia="Times New Roman" w:hAnsi="Times New Roman"/>
          <w:sz w:val="17"/>
          <w:szCs w:val="17"/>
          <w:i w:val="1"/>
          <w:iCs w:val="1"/>
          <w:color w:val="auto"/>
        </w:rPr>
        <w:t>FATCA Information</w:t>
      </w:r>
      <w:r>
        <w:rPr>
          <w:rFonts w:ascii="Times New Roman" w:cs="Times New Roman" w:eastAsia="Times New Roman" w:hAnsi="Times New Roman"/>
          <w:sz w:val="17"/>
          <w:szCs w:val="17"/>
          <w:color w:val="auto"/>
        </w:rPr>
        <w:t>) and the Company or a Lender reasonably believes that the Agent will not be (or will have ceased to be) a FATCA Exempt Party on or after that FATCA Application Date;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ind w:left="1960" w:hanging="656"/>
        <w:spacing w:after="0" w:line="284" w:lineRule="auto"/>
        <w:tabs>
          <w:tab w:leader="none" w:pos="1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12.7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18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Company and the Lenders that the Agent will not be (or will have ceased to be) a FATCA Exempt Party on or after that FATCA Application Date;</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25.13</w:t>
      </w:r>
      <w:r>
        <w:rPr>
          <w:sz w:val="20"/>
          <w:szCs w:val="20"/>
          <w:color w:val="auto"/>
        </w:rPr>
        <w:tab/>
      </w:r>
      <w:r>
        <w:rPr>
          <w:rFonts w:ascii="Times New Roman" w:cs="Times New Roman" w:eastAsia="Times New Roman" w:hAnsi="Times New Roman"/>
          <w:sz w:val="17"/>
          <w:szCs w:val="17"/>
          <w:b w:val="1"/>
          <w:bCs w:val="1"/>
          <w:color w:val="auto"/>
        </w:rPr>
        <w:t>Replacement of the Agent and Security Agent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Company (provided no consultation shall be required following a Declared Default), the Majority Lenders may by giving 30 days’ notice to the Agent or Security Agent (or, at any time the Agent is an Impaired Agent, by giving any shorter notice determined by the Majority Lenders) replace the Agent or Security Agent (as applicable) by appointing a successor Agent or Security Agent (as applicable) (acting through an office in the United Kingdom).</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provided it gives not less than 30 days prior notice, at any time while the Agent is an Impaired Agent replace the Agent by appointing a successor Agent (acting through an office in the United Kingdom).</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or Security Agent (as applicable) shall (at its own cost if it is an Impaired Agent and otherwise at the expense of the Lenders) make available to the successor Agent or Security Agent (as applicable) such documents and records, and provide such assistance as the successor Agent or Security Agent (as applicable) may reasonably request for the purposes of performing its functions as Agent under the Finance Documents.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successor Agent or Security Agent (as applicable) shall take effect on the date specified in the notice from the Majority Lenders (or as applicable the Company) to the retiring Agent. As from this date, the retiring Agent or Security Agent (as applicable) shall be discharged from any further obligation in respect of the Finance Documents but shall remain entitled to the benefit of this Clause 25 (and any agency fees for the account of the retiring Agent or Security Agent (as applicable) shall cease to accrue from (and shall be payable on) that date).</w:t>
      </w:r>
    </w:p>
    <w:p>
      <w:pPr>
        <w:spacing w:after="0" w:line="21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or Security Agent (as applicable) and each of the other Parties shall have the same rights and obligations amongst themselves as they would have had if such successor had been an original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25.14</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ind w:left="1300" w:right="20" w:hanging="644"/>
        <w:spacing w:after="0" w:line="282" w:lineRule="auto"/>
        <w:tabs>
          <w:tab w:leader="none" w:pos="13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or Security Agent (as applicable) shall be regarded as acting through its agency division which shall be treated as a separate entity from any other of its divisions or departments.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or Security Agent (as applicable), it may be treated as confidential to that division or department and the Agent shall not be deemed to have notice of 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5" w:name="page116"/>
    <w:bookmarkEnd w:id="115"/>
    <w:p>
      <w:pPr>
        <w:jc w:val="both"/>
        <w:ind w:left="1300" w:hanging="644"/>
        <w:spacing w:after="0" w:line="266"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neither the Agent nor the Security Agent is obliged to disclose to any other person (i) any Confidential Information, or (ii) any other information if the disclosure would or might in its reasonable opinion constitute a breach of any law or a breach of a fiduciary duty.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25.15</w:t>
      </w:r>
      <w:r>
        <w:rPr>
          <w:sz w:val="20"/>
          <w:szCs w:val="20"/>
          <w:color w:val="auto"/>
        </w:rPr>
        <w:tab/>
      </w:r>
      <w:r>
        <w:rPr>
          <w:rFonts w:ascii="Times New Roman" w:cs="Times New Roman" w:eastAsia="Times New Roman" w:hAnsi="Times New Roman"/>
          <w:sz w:val="18"/>
          <w:szCs w:val="18"/>
          <w:b w:val="1"/>
          <w:bCs w:val="1"/>
          <w:color w:val="auto"/>
        </w:rPr>
        <w:t>Relationship with the Lenders</w:t>
      </w:r>
    </w:p>
    <w:p>
      <w:pPr>
        <w:spacing w:after="0" w:line="256" w:lineRule="exact"/>
        <w:rPr>
          <w:sz w:val="20"/>
          <w:szCs w:val="20"/>
          <w:color w:val="auto"/>
        </w:rPr>
      </w:pPr>
    </w:p>
    <w:p>
      <w:pPr>
        <w:ind w:left="1300" w:hanging="644"/>
        <w:spacing w:after="0" w:line="282" w:lineRule="auto"/>
        <w:tabs>
          <w:tab w:leader="none" w:pos="13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(5) Business Days’ prior notice from that Lender to the contrary in accordance with the terms of this Agreement.</w:t>
      </w:r>
    </w:p>
    <w:p>
      <w:pPr>
        <w:spacing w:after="0" w:line="189" w:lineRule="exact"/>
        <w:rPr>
          <w:sz w:val="20"/>
          <w:szCs w:val="20"/>
          <w:color w:val="auto"/>
        </w:rPr>
      </w:pPr>
    </w:p>
    <w:p>
      <w:pPr>
        <w:jc w:val="both"/>
        <w:ind w:left="1300" w:hanging="644"/>
        <w:spacing w:after="0" w:line="266"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supply the Agent and the Security Agent (as the case may be) with any information that the Agent or the Security Agent (as the case may be) may reasonably specify as being necessary or desirable to enable the Agent to perform its functions as Agent or the Security Agent to perform its functions as Security Agent (as the case may be).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32.6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(a)(iii) of Clause 32.6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that Lender.</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25.16</w:t>
      </w:r>
      <w:r>
        <w:rPr>
          <w:sz w:val="20"/>
          <w:szCs w:val="20"/>
          <w:color w:val="auto"/>
        </w:rPr>
        <w:tab/>
      </w:r>
      <w:r>
        <w:rPr>
          <w:rFonts w:ascii="Times New Roman" w:cs="Times New Roman" w:eastAsia="Times New Roman" w:hAnsi="Times New Roman"/>
          <w:sz w:val="17"/>
          <w:szCs w:val="17"/>
          <w:b w:val="1"/>
          <w:bCs w:val="1"/>
          <w:color w:val="auto"/>
        </w:rPr>
        <w:t>Credit appraisal by the Lenders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Without affecting the responsibility of the Company or the Third Party Security Provider for information supplied by it or on its behalf in connection with any Finance Document, each Lender confirms to the Agent and the Security Agent that it has been, and will continue to be, solely responsible for making its own independent appraisal and investigation of all risks arising under or in connection with any Finance Document including but not limited to:</w:t>
      </w:r>
    </w:p>
    <w:p>
      <w:pPr>
        <w:spacing w:after="0" w:line="180" w:lineRule="exact"/>
        <w:rPr>
          <w:sz w:val="20"/>
          <w:szCs w:val="20"/>
          <w:color w:val="auto"/>
        </w:rPr>
      </w:pPr>
    </w:p>
    <w:p>
      <w:pPr>
        <w:ind w:left="1300" w:hanging="644"/>
        <w:spacing w:after="0"/>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member of the Group;</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 the Transaction Security and any other agreement, arrangement or document entered into, made or executed in anticipation of, under or in connection with any Finance Document or the Transaction Security;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1300" w:hanging="644"/>
        <w:spacing w:after="0" w:line="261" w:lineRule="auto"/>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Secured Party has recourse, and the nature and extent of that recourse, against any Party or any of its respective assets under or in connection with any Finance Document, the Transaction Security, the transactions contemplated by the Finance Documents or any other agreement, arrangement or document entered into, made or executed in anticipation of, under or in connection with any Finance Document;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and/or completeness of any information provided by the Agent, the Security Agent, any Party or by any other person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25.17</w:t>
      </w:r>
      <w:r>
        <w:rPr>
          <w:sz w:val="20"/>
          <w:szCs w:val="20"/>
          <w:color w:val="auto"/>
        </w:rPr>
        <w:tab/>
      </w:r>
      <w:r>
        <w:rPr>
          <w:rFonts w:ascii="Times New Roman" w:cs="Times New Roman" w:eastAsia="Times New Roman" w:hAnsi="Times New Roman"/>
          <w:sz w:val="17"/>
          <w:szCs w:val="17"/>
          <w:b w:val="1"/>
          <w:bCs w:val="1"/>
          <w:color w:val="auto"/>
        </w:rPr>
        <w:t>Agent’s and Security Agent’s management time</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or Security Agent under Clause 14.3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14.4 (</w:t>
      </w:r>
      <w:r>
        <w:rPr>
          <w:rFonts w:ascii="Times New Roman" w:cs="Times New Roman" w:eastAsia="Times New Roman" w:hAnsi="Times New Roman"/>
          <w:sz w:val="18"/>
          <w:szCs w:val="18"/>
          <w:i w:val="1"/>
          <w:iCs w:val="1"/>
          <w:color w:val="auto"/>
        </w:rPr>
        <w:t>Indemnity to the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and Clause 25.11 (</w:t>
      </w:r>
      <w:r>
        <w:rPr>
          <w:rFonts w:ascii="Times New Roman" w:cs="Times New Roman" w:eastAsia="Times New Roman" w:hAnsi="Times New Roman"/>
          <w:sz w:val="18"/>
          <w:szCs w:val="18"/>
          <w:i w:val="1"/>
          <w:iCs w:val="1"/>
          <w:color w:val="auto"/>
        </w:rPr>
        <w:t>Lenders’ indemnity to the Agent and Security Agent</w:t>
      </w:r>
      <w:r>
        <w:rPr>
          <w:rFonts w:ascii="Times New Roman" w:cs="Times New Roman" w:eastAsia="Times New Roman" w:hAnsi="Times New Roman"/>
          <w:sz w:val="18"/>
          <w:szCs w:val="18"/>
          <w:color w:val="auto"/>
        </w:rPr>
        <w:t>) shall include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utilising the management time or other resources of the Agent or Security Agent (as applicable), and will be calculated on the basis of such reasonable daily or hourly rates as the Agent or Security Agent may notify to the Company and the other Finance Parties, and is in addition to any other fee paid or payable to the Agent or Security Agent under Clause 11.1 (</w:t>
      </w:r>
      <w:r>
        <w:rPr>
          <w:rFonts w:ascii="Times New Roman" w:cs="Times New Roman" w:eastAsia="Times New Roman" w:hAnsi="Times New Roman"/>
          <w:sz w:val="18"/>
          <w:szCs w:val="18"/>
          <w:i w:val="1"/>
          <w:iCs w:val="1"/>
          <w:color w:val="auto"/>
        </w:rPr>
        <w:t>Agent and Security Agent fees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(a) above, in the event of:</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the Security Agent (as applicable) being requested by the Company or the Majority Lenders to undertake duties which the Agent or the Security Agent (as applicable) and the Company agree to be of an exceptional nature or outside the scope of the normal duties of the Agent or the Security Agent (as applicable) under the Finance Documents;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the Security Agent (as applicable) and the Company agreeing that it is otherwise appropriate in the circumstances,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must pay to the Agent and the Security Agent (as applicable) any additional remuneration that may be agreed between them or determined pursuant to paragraph (c) below.</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or the Security Agent (as applicable) and the Company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Agent or the Security Agent (as applicable) and approved by the Company or, failing approval, nominated (on the application of the Agent or the Security Agent (as applicable)) by the President for the time being of the Law Society of England and Wales (the costs of the nomination and of the investment bank being payable by the Company) and the determination of any investment bank shall be final and binding upon the Parties.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25.18</w:t>
      </w:r>
      <w:r>
        <w:rPr>
          <w:sz w:val="20"/>
          <w:szCs w:val="20"/>
          <w:color w:val="auto"/>
        </w:rPr>
        <w:tab/>
      </w:r>
      <w:r>
        <w:rPr>
          <w:rFonts w:ascii="Times New Roman" w:cs="Times New Roman" w:eastAsia="Times New Roman" w:hAnsi="Times New Roman"/>
          <w:sz w:val="17"/>
          <w:szCs w:val="17"/>
          <w:b w:val="1"/>
          <w:bCs w:val="1"/>
          <w:color w:val="auto"/>
        </w:rPr>
        <w:t>Deduction from amounts payable by the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25.19</w:t>
      </w:r>
      <w:r>
        <w:rPr>
          <w:sz w:val="20"/>
          <w:szCs w:val="20"/>
          <w:color w:val="auto"/>
        </w:rPr>
        <w:tab/>
      </w:r>
      <w:r>
        <w:rPr>
          <w:rFonts w:ascii="Times New Roman" w:cs="Times New Roman" w:eastAsia="Times New Roman" w:hAnsi="Times New Roman"/>
          <w:sz w:val="18"/>
          <w:szCs w:val="18"/>
          <w:b w:val="1"/>
          <w:bCs w:val="1"/>
          <w:color w:val="auto"/>
        </w:rPr>
        <w:t>Certain other matters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deal with money paid to it by any person for the purposes of this Agreement in the same manner as other money paid to a banker by its customers except that it shall not be liable to account to any person for any interest or other amounts in respect of the money.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commissions and expenses payable to the Agent for services rendered and the performance of its obligations under this Agreement shall not be abated by any remuneration or other amounts or profits receivable by the Agent (or by any of its associates) in connection with any transaction effected by the Agent with or for the Lenders or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25.20</w:t>
      </w:r>
      <w:r>
        <w:rPr>
          <w:sz w:val="20"/>
          <w:szCs w:val="20"/>
          <w:color w:val="auto"/>
        </w:rPr>
        <w:tab/>
      </w:r>
      <w:r>
        <w:rPr>
          <w:rFonts w:ascii="Times New Roman" w:cs="Times New Roman" w:eastAsia="Times New Roman" w:hAnsi="Times New Roman"/>
          <w:sz w:val="17"/>
          <w:szCs w:val="17"/>
          <w:b w:val="1"/>
          <w:bCs w:val="1"/>
          <w:color w:val="auto"/>
        </w:rPr>
        <w:t>No responsibility to perfect Transaction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Security Agent shall not be liable for any failure to:</w:t>
      </w:r>
    </w:p>
    <w:p>
      <w:pPr>
        <w:spacing w:after="0" w:line="225" w:lineRule="exact"/>
        <w:rPr>
          <w:sz w:val="20"/>
          <w:szCs w:val="20"/>
          <w:color w:val="auto"/>
        </w:rPr>
      </w:pPr>
    </w:p>
    <w:p>
      <w:pPr>
        <w:ind w:left="130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deposit with it of any deed or document certifying, representing or constituting the title of the Company to any of the Charged Property;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licence, consent or other authority for the execution, delivery, legality, validity, enforceability or admissibility in evidence of any Finance Document or the Transaction Security;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to require the Company to take, any step to perfect its title to any of the Charged Property or to render the Transaction Security effective or to secure the creation of any ancillary Security under any law or regulation;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further assurance in relation to any Transaction Security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25.21</w:t>
      </w:r>
      <w:r>
        <w:rPr>
          <w:sz w:val="20"/>
          <w:szCs w:val="20"/>
          <w:color w:val="auto"/>
        </w:rPr>
        <w:tab/>
      </w:r>
      <w:r>
        <w:rPr>
          <w:rFonts w:ascii="Times New Roman" w:cs="Times New Roman" w:eastAsia="Times New Roman" w:hAnsi="Times New Roman"/>
          <w:sz w:val="18"/>
          <w:szCs w:val="18"/>
          <w:b w:val="1"/>
          <w:bCs w:val="1"/>
          <w:color w:val="auto"/>
        </w:rPr>
        <w:t>Insurance by Security Agent</w:t>
      </w:r>
    </w:p>
    <w:p>
      <w:pPr>
        <w:spacing w:after="0" w:line="256" w:lineRule="exact"/>
        <w:rPr>
          <w:sz w:val="20"/>
          <w:szCs w:val="20"/>
          <w:color w:val="auto"/>
        </w:rPr>
      </w:pPr>
    </w:p>
    <w:p>
      <w:pPr>
        <w:ind w:left="1300" w:hanging="644"/>
        <w:spacing w:after="0"/>
        <w:tabs>
          <w:tab w:leader="none" w:pos="13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not be obliged: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insure any of the Charged Property;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any other person to maintain any insurance;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any obligation to arrange or maintain insurance contained in any Finance Document,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the Security Agent shall not be liable for any damages, costs or losses to any person as a result of the lack of, or inadequacy of, any such insurance.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both"/>
        <w:ind w:left="1300" w:hanging="644"/>
        <w:spacing w:after="0" w:line="261" w:lineRule="auto"/>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fourteen days after receipt of that request.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25.22</w:t>
      </w:r>
      <w:r>
        <w:rPr>
          <w:sz w:val="20"/>
          <w:szCs w:val="20"/>
          <w:color w:val="auto"/>
        </w:rPr>
        <w:tab/>
      </w:r>
      <w:r>
        <w:rPr>
          <w:rFonts w:ascii="Times New Roman" w:cs="Times New Roman" w:eastAsia="Times New Roman" w:hAnsi="Times New Roman"/>
          <w:sz w:val="17"/>
          <w:szCs w:val="17"/>
          <w:b w:val="1"/>
          <w:bCs w:val="1"/>
          <w:color w:val="auto"/>
        </w:rPr>
        <w:t>Custodians and nominees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negligence, misconduct, omission or default on the part of any person appointed by it under this Agreement or be bound to supervise the proceedings or acts of any person.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25.23</w:t>
      </w:r>
      <w:r>
        <w:rPr>
          <w:sz w:val="20"/>
          <w:szCs w:val="20"/>
          <w:color w:val="auto"/>
        </w:rPr>
        <w:tab/>
      </w:r>
      <w:r>
        <w:rPr>
          <w:rFonts w:ascii="Times New Roman" w:cs="Times New Roman" w:eastAsia="Times New Roman" w:hAnsi="Times New Roman"/>
          <w:sz w:val="17"/>
          <w:szCs w:val="17"/>
          <w:b w:val="1"/>
          <w:bCs w:val="1"/>
          <w:color w:val="auto"/>
        </w:rPr>
        <w:t>Delegation by the Security Agent</w:t>
      </w:r>
    </w:p>
    <w:p>
      <w:pPr>
        <w:spacing w:after="0" w:line="256" w:lineRule="exact"/>
        <w:rPr>
          <w:sz w:val="20"/>
          <w:szCs w:val="20"/>
          <w:color w:val="auto"/>
        </w:rPr>
      </w:pPr>
    </w:p>
    <w:p>
      <w:pPr>
        <w:jc w:val="both"/>
        <w:ind w:left="1300" w:hanging="644"/>
        <w:spacing w:after="0" w:line="261"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Security Agent, any Receiver and any Delegate may, at any time, delegate by power of attorney or otherwise to any person for any period, all or any right, power, authority or discretion vested in it in its capacity as such, including, for the avoidance of doubt and to the extent legally possible, under release from any restrictions on representing several persons and self-dealing under any applicable law.</w:t>
      </w:r>
    </w:p>
    <w:p>
      <w:pPr>
        <w:spacing w:after="0" w:line="20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delegation may be made upon any terms and conditions (including the power to sub-delegate) and subject to any restrictions that the Security Agent, that Receiver or that Delegate (as the case may be) may, in its discretion, think fit in the interests of the Secured Parties.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Agent, Receiver or Delegate shall be bound to supervise, or be in any way responsible for any damages, costs or losses incurred by reason of any negligence, misconduct, omission or default on the part of, any such delegate or sub-delegate.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25.24</w:t>
      </w:r>
      <w:r>
        <w:rPr>
          <w:sz w:val="20"/>
          <w:szCs w:val="20"/>
          <w:color w:val="auto"/>
        </w:rPr>
        <w:tab/>
      </w:r>
      <w:r>
        <w:rPr>
          <w:rFonts w:ascii="Times New Roman" w:cs="Times New Roman" w:eastAsia="Times New Roman" w:hAnsi="Times New Roman"/>
          <w:sz w:val="17"/>
          <w:szCs w:val="17"/>
          <w:b w:val="1"/>
          <w:bCs w:val="1"/>
          <w:color w:val="auto"/>
        </w:rPr>
        <w:t>Additional Security Agents</w:t>
      </w:r>
    </w:p>
    <w:p>
      <w:pPr>
        <w:spacing w:after="0" w:line="256" w:lineRule="exact"/>
        <w:rPr>
          <w:sz w:val="20"/>
          <w:szCs w:val="20"/>
          <w:color w:val="auto"/>
        </w:rPr>
      </w:pPr>
    </w:p>
    <w:p>
      <w:pPr>
        <w:ind w:left="1300" w:hanging="644"/>
        <w:spacing w:after="0" w:line="282"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may at any time appoint (and subsequently remove) any person to act as a separate trustee or as a co-trustee jointly with it: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considers that appointment to be in the interests of the Secured Parties;</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conforming to any legal requirement, restriction or condition which the Security Agent deems to be relevant; or</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obtaining or enforcing any judgment in any jurisdiction,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Security Agent shall give prior notice to the Company and the Finance Parties of that appointment.</w:t>
      </w:r>
    </w:p>
    <w:p>
      <w:pPr>
        <w:spacing w:after="0" w:line="252" w:lineRule="exact"/>
        <w:rPr>
          <w:sz w:val="20"/>
          <w:szCs w:val="20"/>
          <w:color w:val="auto"/>
        </w:rPr>
      </w:pPr>
    </w:p>
    <w:p>
      <w:pPr>
        <w:jc w:val="both"/>
        <w:ind w:left="1300" w:hanging="644"/>
        <w:spacing w:after="0" w:line="266"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left="1300" w:hanging="644"/>
        <w:spacing w:after="0" w:line="266"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not be bound to supervise, or be in any way responsible for any damages, costs or losses incurred by reason of any negligence, misconduct, omission or default on the part of, any person appointed to act pursuant to paragraph (a) above.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25.25</w:t>
      </w:r>
      <w:r>
        <w:rPr>
          <w:sz w:val="20"/>
          <w:szCs w:val="20"/>
          <w:color w:val="auto"/>
        </w:rPr>
        <w:tab/>
      </w:r>
      <w:r>
        <w:rPr>
          <w:rFonts w:ascii="Times New Roman" w:cs="Times New Roman" w:eastAsia="Times New Roman" w:hAnsi="Times New Roman"/>
          <w:sz w:val="18"/>
          <w:szCs w:val="18"/>
          <w:b w:val="1"/>
          <w:bCs w:val="1"/>
          <w:color w:val="auto"/>
        </w:rPr>
        <w:t>Acceptance of title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Security Agent shall be entitled to accept without enquiry, and shall not be obliged to investigate, any right and title that the Company or the Third Party Security Provider may have to any of the Charged Property and shall not be liable for, or bound to require the Company or the Third Party Security Provider to remedy, any defect in its right or title.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25.26</w:t>
      </w:r>
      <w:r>
        <w:rPr>
          <w:sz w:val="20"/>
          <w:szCs w:val="20"/>
          <w:color w:val="auto"/>
        </w:rPr>
        <w:tab/>
      </w:r>
      <w:r>
        <w:rPr>
          <w:rFonts w:ascii="Times New Roman" w:cs="Times New Roman" w:eastAsia="Times New Roman" w:hAnsi="Times New Roman"/>
          <w:sz w:val="17"/>
          <w:szCs w:val="17"/>
          <w:b w:val="1"/>
          <w:bCs w:val="1"/>
          <w:color w:val="auto"/>
        </w:rPr>
        <w:t>Winding up of trust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the Security Agent, with the approval of the Agent, determines that:</w:t>
      </w:r>
    </w:p>
    <w:p>
      <w:pPr>
        <w:spacing w:after="0" w:line="229" w:lineRule="exact"/>
        <w:rPr>
          <w:sz w:val="20"/>
          <w:szCs w:val="20"/>
          <w:color w:val="auto"/>
        </w:rPr>
      </w:pPr>
    </w:p>
    <w:p>
      <w:pPr>
        <w:ind w:left="1300" w:hanging="644"/>
        <w:spacing w:after="0" w:line="282" w:lineRule="auto"/>
        <w:tabs>
          <w:tab w:leader="none" w:pos="13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Secured Liabilities and all other obligations secured by the Transaction Security Documents have been fully and finally discharged;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Secured Party is under any commitment, obligation or liability (actual or contingent) to make advances or provide other financial accommodation to the Borrower pursuant to the Finance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w:t>
      </w:r>
    </w:p>
    <w:p>
      <w:pPr>
        <w:spacing w:after="0" w:line="225" w:lineRule="exact"/>
        <w:rPr>
          <w:sz w:val="20"/>
          <w:szCs w:val="20"/>
          <w:color w:val="auto"/>
        </w:rPr>
      </w:pPr>
    </w:p>
    <w:p>
      <w:pPr>
        <w:ind w:left="1300" w:hanging="644"/>
        <w:spacing w:after="0" w:line="282"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set out in this Agreement shall be wound up and the Security Agent shall release, without recourse or warranty, all of the Transaction Security and the rights of the Security Agent under each of the Transaction Security Documents; and</w:t>
      </w:r>
    </w:p>
    <w:p>
      <w:pPr>
        <w:spacing w:after="0" w:line="159"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Agent which has resigned pursuant to Clause 25.12 (</w:t>
      </w:r>
      <w:r>
        <w:rPr>
          <w:rFonts w:ascii="Times New Roman" w:cs="Times New Roman" w:eastAsia="Times New Roman" w:hAnsi="Times New Roman"/>
          <w:sz w:val="18"/>
          <w:szCs w:val="18"/>
          <w:i w:val="1"/>
          <w:iCs w:val="1"/>
          <w:color w:val="auto"/>
        </w:rPr>
        <w:t>Resignation of the Agent and the Security Agent</w:t>
      </w:r>
      <w:r>
        <w:rPr>
          <w:rFonts w:ascii="Times New Roman" w:cs="Times New Roman" w:eastAsia="Times New Roman" w:hAnsi="Times New Roman"/>
          <w:sz w:val="18"/>
          <w:szCs w:val="18"/>
          <w:color w:val="auto"/>
        </w:rPr>
        <w:t>) shall release, without recourse or warranty, all of its rights under each Transaction Security Document.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25.27</w:t>
      </w:r>
      <w:r>
        <w:rPr>
          <w:sz w:val="20"/>
          <w:szCs w:val="20"/>
          <w:color w:val="auto"/>
        </w:rPr>
        <w:tab/>
      </w:r>
      <w:r>
        <w:rPr>
          <w:rFonts w:ascii="Times New Roman" w:cs="Times New Roman" w:eastAsia="Times New Roman" w:hAnsi="Times New Roman"/>
          <w:sz w:val="17"/>
          <w:szCs w:val="17"/>
          <w:b w:val="1"/>
          <w:bCs w:val="1"/>
          <w:color w:val="auto"/>
        </w:rPr>
        <w:t>Powers supplemental to Trustee Acts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25.28</w:t>
      </w:r>
      <w:r>
        <w:rPr>
          <w:sz w:val="20"/>
          <w:szCs w:val="20"/>
          <w:color w:val="auto"/>
        </w:rPr>
        <w:tab/>
      </w:r>
      <w:r>
        <w:rPr>
          <w:rFonts w:ascii="Times New Roman" w:cs="Times New Roman" w:eastAsia="Times New Roman" w:hAnsi="Times New Roman"/>
          <w:sz w:val="17"/>
          <w:szCs w:val="17"/>
          <w:b w:val="1"/>
          <w:bCs w:val="1"/>
          <w:color w:val="auto"/>
        </w:rPr>
        <w:t>Disapplication of Trustee Acts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hanging="652"/>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OF PROCEEDS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b w:val="1"/>
          <w:bCs w:val="1"/>
          <w:color w:val="auto"/>
        </w:rPr>
        <w:t>Order of application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Clause 26.2 (</w:t>
      </w:r>
      <w:r>
        <w:rPr>
          <w:rFonts w:ascii="Times New Roman" w:cs="Times New Roman" w:eastAsia="Times New Roman" w:hAnsi="Times New Roman"/>
          <w:sz w:val="18"/>
          <w:szCs w:val="18"/>
          <w:i w:val="1"/>
          <w:iCs w:val="1"/>
          <w:color w:val="auto"/>
        </w:rPr>
        <w:t>Prospective liabilities</w:t>
      </w:r>
      <w:r>
        <w:rPr>
          <w:rFonts w:ascii="Times New Roman" w:cs="Times New Roman" w:eastAsia="Times New Roman" w:hAnsi="Times New Roman"/>
          <w:sz w:val="18"/>
          <w:szCs w:val="18"/>
          <w:color w:val="auto"/>
        </w:rPr>
        <w:t>), all amounts from time to time received or recovered by the Security Agent pursuant to the terms of any Finance Document or in connection with the realisation or enforcement of all or any part of the Transaction Security (for the purposes of this Clause 26, the “</w:t>
      </w: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shall be held by the Security Agent on trust to apply them at any time as the Security Agent (in its discretion) sees fit, to the extent permitted by applicable law (and subject to the provisions of this Clause 26), in the following order:</w:t>
      </w:r>
    </w:p>
    <w:p>
      <w:pPr>
        <w:spacing w:after="0" w:line="182" w:lineRule="exact"/>
        <w:rPr>
          <w:sz w:val="20"/>
          <w:szCs w:val="20"/>
          <w:color w:val="auto"/>
        </w:rPr>
      </w:pPr>
    </w:p>
    <w:p>
      <w:pPr>
        <w:ind w:left="1300" w:hanging="644"/>
        <w:spacing w:after="0"/>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discharging any sums owing to the Security Agent, any Receiver or any Delegate;</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of all costs and expenses incurred by the Agent or any Secured Party in connection with any realisation or enforcement of the Transaction Security taken in accordance with the terms of this Agreement; and</w:t>
      </w:r>
    </w:p>
    <w:p>
      <w:pPr>
        <w:spacing w:after="0" w:line="18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to the Agent for application in accordance with Clause 29.6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provided that, to the extent that such amounts are sufficient to discharge the Secured Liabilities in full, the Security Agent must as soon as practicable (to the extent permitted by applicable law) apply the amount received or recovered (as applicable) in accordance with paragraphs (a) to (c) above.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b w:val="1"/>
          <w:bCs w:val="1"/>
          <w:color w:val="auto"/>
        </w:rPr>
        <w:t>Prospective liabilities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Following acceleration or enforcement of any of the Transaction Security the Security Agent may, in its discretion, hold any amount of the Recoveries in an interest bearing suspense or impersonal account(s) in the name of the Security Agent with such financial institution (including itself) and for so long as the Security Agent shall think fit (the interest being credited to the relevant account) for later application under Clause 26.1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 in respect of:</w:t>
      </w:r>
    </w:p>
    <w:p>
      <w:pPr>
        <w:spacing w:after="0" w:line="180" w:lineRule="exact"/>
        <w:rPr>
          <w:sz w:val="20"/>
          <w:szCs w:val="20"/>
          <w:color w:val="auto"/>
        </w:rPr>
      </w:pPr>
    </w:p>
    <w:p>
      <w:pPr>
        <w:ind w:left="1300" w:hanging="644"/>
        <w:spacing w:after="0"/>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to the Security Agent, any Receiver or any Delegate;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Secured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Security Agent reasonably considers, in each case, might become due or owing at any time in the future.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7"/>
          <w:szCs w:val="17"/>
          <w:b w:val="1"/>
          <w:bCs w:val="1"/>
          <w:color w:val="auto"/>
        </w:rPr>
        <w:t>Investment of proceeds</w:t>
      </w:r>
    </w:p>
    <w:p>
      <w:pPr>
        <w:spacing w:after="0" w:line="227"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Prior to the application of the proceeds of the Recoveries in accordance with Clause 26.1 (</w:t>
      </w:r>
      <w:r>
        <w:rPr>
          <w:rFonts w:ascii="Times New Roman" w:cs="Times New Roman" w:eastAsia="Times New Roman" w:hAnsi="Times New Roman"/>
          <w:sz w:val="17"/>
          <w:szCs w:val="17"/>
          <w:i w:val="1"/>
          <w:iCs w:val="1"/>
          <w:color w:val="auto"/>
        </w:rPr>
        <w:t>Order of application</w:t>
      </w:r>
      <w:r>
        <w:rPr>
          <w:rFonts w:ascii="Times New Roman" w:cs="Times New Roman" w:eastAsia="Times New Roman" w:hAnsi="Times New Roman"/>
          <w:sz w:val="17"/>
          <w:szCs w:val="17"/>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application from time to time of those moneys in the Security Agent’s discretion in accordance with the provisions of this Clause 26.3.</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b w:val="1"/>
          <w:bCs w:val="1"/>
          <w:color w:val="auto"/>
        </w:rPr>
        <w:t>Currency conversion</w:t>
      </w:r>
    </w:p>
    <w:p>
      <w:pPr>
        <w:spacing w:after="0" w:line="256" w:lineRule="exact"/>
        <w:rPr>
          <w:sz w:val="20"/>
          <w:szCs w:val="20"/>
          <w:color w:val="auto"/>
        </w:rPr>
      </w:pPr>
    </w:p>
    <w:p>
      <w:pPr>
        <w:ind w:left="1300" w:right="20" w:hanging="644"/>
        <w:spacing w:after="0" w:line="282"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or any Third Party Security Provider to pay in the due currency shall only be satisfied to the extent of the amount of the due currency purchased after deducting the costs of conversion.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b w:val="1"/>
          <w:bCs w:val="1"/>
          <w:color w:val="auto"/>
        </w:rPr>
        <w:t>Permitted deductions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Security Agent shall be entitled, in its discretion: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all Taxes which may be assessed against it in respect of any of the Charged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7"/>
          <w:szCs w:val="17"/>
          <w:b w:val="1"/>
          <w:bCs w:val="1"/>
          <w:color w:val="auto"/>
        </w:rPr>
        <w:t>Good discharge</w:t>
      </w:r>
    </w:p>
    <w:p>
      <w:pPr>
        <w:spacing w:after="0" w:line="229" w:lineRule="exact"/>
        <w:rPr>
          <w:sz w:val="20"/>
          <w:szCs w:val="20"/>
          <w:color w:val="auto"/>
        </w:rPr>
      </w:pPr>
    </w:p>
    <w:p>
      <w:pPr>
        <w:ind w:left="1300" w:right="20" w:hanging="644"/>
        <w:spacing w:after="0" w:line="282" w:lineRule="auto"/>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be made in respect of the Secured Liabilities by the Security Agent may be made to the Agent on behalf of the Finance Parties and any payment made in that way shall be a good discharge, to the extent of that payment, by the Security Agent.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is under no obligation to make the payments to the Agent under paragraph (a) above in the same currency as that in which the obligations and liabilities owing to the relevant Finance Party are denominated.</w:t>
      </w:r>
    </w:p>
    <w:p>
      <w:pPr>
        <w:spacing w:after="0" w:line="158" w:lineRule="exact"/>
        <w:rPr>
          <w:sz w:val="20"/>
          <w:szCs w:val="20"/>
          <w:color w:val="auto"/>
        </w:rPr>
      </w:pPr>
    </w:p>
    <w:p>
      <w:pPr>
        <w:ind w:left="660" w:right="6080" w:hanging="652"/>
        <w:spacing w:after="0" w:line="503" w:lineRule="auto"/>
        <w:tabs>
          <w:tab w:leader="none" w:pos="6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 OF BUSINESS BY THE FINANCE PARTIES </w:t>
      </w:r>
      <w:r>
        <w:rPr>
          <w:rFonts w:ascii="Times New Roman" w:cs="Times New Roman" w:eastAsia="Times New Roman" w:hAnsi="Times New Roman"/>
          <w:sz w:val="18"/>
          <w:szCs w:val="18"/>
          <w:color w:val="auto"/>
        </w:rPr>
        <w:t>No provision of this Agreement will:</w:t>
      </w:r>
    </w:p>
    <w:p>
      <w:pPr>
        <w:ind w:left="1300" w:hanging="644"/>
        <w:spacing w:after="0"/>
        <w:tabs>
          <w:tab w:leader="none" w:pos="130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SHARING AMONG THE FINANCE PARTIES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252" w:lineRule="exact"/>
        <w:rPr>
          <w:sz w:val="20"/>
          <w:szCs w:val="20"/>
          <w:color w:val="auto"/>
        </w:rPr>
      </w:pPr>
    </w:p>
    <w:p>
      <w:pPr>
        <w:jc w:val="both"/>
        <w:ind w:left="1300" w:hanging="644"/>
        <w:spacing w:after="0" w:line="268" w:lineRule="auto"/>
        <w:tabs>
          <w:tab w:leader="none" w:pos="13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receives or recovers any amount from the Company or the Third Party Security Provider other than in accordance with Clause 29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the Finance Documents then:</w:t>
      </w:r>
    </w:p>
    <w:p>
      <w:pPr>
        <w:spacing w:after="0" w:line="20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notify details of the receipt or recovery, to the Agent;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left="1960" w:hanging="656"/>
        <w:spacing w:after="0" w:line="261" w:lineRule="auto"/>
        <w:tabs>
          <w:tab w:leader="none" w:pos="19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29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 and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of demand by the Agent, pay to the Agent an amount (the “</w:t>
      </w:r>
      <w:r>
        <w:rPr>
          <w:rFonts w:ascii="Times New Roman" w:cs="Times New Roman" w:eastAsia="Times New Roman" w:hAnsi="Times New Roman"/>
          <w:sz w:val="18"/>
          <w:szCs w:val="18"/>
          <w:b w:val="1"/>
          <w:bCs w:val="1"/>
          <w:color w:val="auto"/>
        </w:rPr>
        <w:t>Sharing 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 Party as its share of any payment to be made, in accordance with Clause 29.6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Agent shall treat the Sharing Payment as if it had been paid by the Company or the Third Party Security Provider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29.6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towards the obligations of Company or the Third Party Security Provider to the Sharing Finance Parties.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a distribution by the Agent under Clause 28.2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of a payment received by a Recovering Finance Party from Company or the Third Party Security Provider, as between the Company or the Third Party Security Provider and the Recovering Finance Party, an amount of the Recovered Amount equal to the Sharing Payment will be treated as not having been paid by Company or the Third Party Security Provider.</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8"/>
          <w:szCs w:val="18"/>
          <w:b w:val="1"/>
          <w:bCs w:val="1"/>
          <w:color w:val="auto"/>
        </w:rPr>
        <w:t>Redistributed Amount</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Company or the Third Party Security Provider and each relevant Sharing Finance Party, an amount equal to the relevant Redistributed Amount will be treated as not having been paid by Company or the Third Party Security Provider.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9" w:lineRule="exact"/>
        <w:rPr>
          <w:sz w:val="20"/>
          <w:szCs w:val="20"/>
          <w:color w:val="auto"/>
        </w:rPr>
      </w:pPr>
    </w:p>
    <w:p>
      <w:pPr>
        <w:ind w:left="1300" w:hanging="644"/>
        <w:spacing w:after="0" w:line="282" w:lineRule="auto"/>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28 shall not apply to the extent that the Recovering Finance Party would not, after making any payment pursuant to this Clause, have a valid and enforceable claim against the Company or the Third Party Security Provider.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the other Finance Party of the legal or arbitration proceedings;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1960" w:hanging="656"/>
        <w:spacing w:after="0" w:line="282" w:lineRule="auto"/>
        <w:tabs>
          <w:tab w:leader="none" w:pos="19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158" w:lineRule="exact"/>
        <w:rPr>
          <w:sz w:val="20"/>
          <w:szCs w:val="20"/>
          <w:color w:val="auto"/>
        </w:rPr>
      </w:pPr>
    </w:p>
    <w:p>
      <w:pPr>
        <w:ind w:left="660" w:hanging="652"/>
        <w:spacing w:after="0"/>
        <w:tabs>
          <w:tab w:leader="none" w:pos="6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MECHANICS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b w:val="1"/>
          <w:bCs w:val="1"/>
          <w:color w:val="auto"/>
        </w:rPr>
        <w:t>Payments to the Agent</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the Lender is required to make a payment under a Finance Document,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Company or the Third Party Security Provider is required to make a payment under a Finance Document, Company or the Third Party Security Provider shall make the same available to the Agent (unless a contrary indication appears in a Finance Document) for value on the due date in such funds and at the time specified by the Agent, being the latest time by which payments to the Agent may be settled on the due date in the relevant currency in the place of payment.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sub-paragraph (b) above, the Agent shall confirm, promptly upon receipt (and in any event upon the same Business Day as receipt), the receipt of any funds made available to it on the due date by Company or the Third Party Security Provider, in respect of any repayment, prepayment, payment of interest or any other payment (such confirmation being a “</w:t>
      </w:r>
      <w:r>
        <w:rPr>
          <w:rFonts w:ascii="Times New Roman" w:cs="Times New Roman" w:eastAsia="Times New Roman" w:hAnsi="Times New Roman"/>
          <w:sz w:val="18"/>
          <w:szCs w:val="18"/>
          <w:b w:val="1"/>
          <w:bCs w:val="1"/>
          <w:color w:val="auto"/>
        </w:rPr>
        <w:t>Pay-off Confirmation</w:t>
      </w:r>
      <w:r>
        <w:rPr>
          <w:rFonts w:ascii="Times New Roman" w:cs="Times New Roman" w:eastAsia="Times New Roman" w:hAnsi="Times New Roman"/>
          <w:sz w:val="18"/>
          <w:szCs w:val="18"/>
          <w:color w:val="auto"/>
        </w:rPr>
        <w:t>”) provided that a request for such Pay-off Confirmation is made to the Agent at least two (2) Business Days prior to such due date for settlement.</w:t>
      </w:r>
    </w:p>
    <w:p>
      <w:pPr>
        <w:spacing w:after="0" w:line="21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that currency (or, in relation to Euro, in a principal financial centre in a Participating Member State or London) with such bank as the Agent specifies.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b w:val="1"/>
          <w:bCs w:val="1"/>
          <w:color w:val="auto"/>
        </w:rPr>
        <w:t>Distributions by the Agent</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29.3 (</w:t>
      </w:r>
      <w:r>
        <w:rPr>
          <w:rFonts w:ascii="Times New Roman" w:cs="Times New Roman" w:eastAsia="Times New Roman" w:hAnsi="Times New Roman"/>
          <w:sz w:val="18"/>
          <w:szCs w:val="18"/>
          <w:i w:val="1"/>
          <w:iCs w:val="1"/>
          <w:color w:val="auto"/>
        </w:rPr>
        <w:t>Distributions to</w:t>
      </w:r>
      <w:r>
        <w:rPr>
          <w:rFonts w:ascii="Times New Roman" w:cs="Times New Roman" w:eastAsia="Times New Roman" w:hAnsi="Times New Roman"/>
          <w:sz w:val="18"/>
          <w:szCs w:val="18"/>
          <w:color w:val="auto"/>
        </w:rPr>
        <w:t>) and Clause 29.4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(5) Business Days’ notice with a bank in the principal financial centre of the country of that currency (or, in relation to Euro, in the principal financial centre of a Participating Member State or London).</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7"/>
          <w:szCs w:val="17"/>
          <w:b w:val="1"/>
          <w:bCs w:val="1"/>
          <w:color w:val="auto"/>
        </w:rPr>
        <w:t>Distributions to the Company</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Agent may (with the consent of Company or the Third Party Security Provider or in accordance with Clause 31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 apply any amount received by it for Company or the Third Party Security Provider in or towards payment (on the date and in the currency and funds of receipt) of any amount due from Company or the Third Party Security Provider under the Finance Documents or in or towards purchase of any amount of any currency to be so applied.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7"/>
          <w:szCs w:val="17"/>
          <w:b w:val="1"/>
          <w:bCs w:val="1"/>
          <w:color w:val="auto"/>
        </w:rPr>
        <w:t>Clawback</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Agent becomes an Impaired Agent, Company or the Third Party Security Provider or a Lender which is required to make a payment under the Finance Documents to the Agent in accordance with Clause 29.1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may instead either pay that amount direct to the required recipient or pay that amount to an interest-bearing account held with an Acceptable Bank within the meaning of paragraph (a) (and/or in relation to any payment to Company or the Third Party Security Provider, paragraph (c)) of the definition of Acceptable Bank and in relation to which no Insolvency Event has occurred and is continuing, in the name of Company or the Third Party Security Provider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21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the amount standing to the credit of the trust account shall be for the benefit of the beneficiaries of that trust account pro rata to their respective entitlements.</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29.5 shall be discharged of the relevant payment obligation under the Finance Documents and shall not take any credit risk with respect to the amounts standing to the credit of the trust account.</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in accordance with Clause 25.13 (</w:t>
      </w:r>
      <w:r>
        <w:rPr>
          <w:rFonts w:ascii="Times New Roman" w:cs="Times New Roman" w:eastAsia="Times New Roman" w:hAnsi="Times New Roman"/>
          <w:sz w:val="18"/>
          <w:szCs w:val="18"/>
          <w:i w:val="1"/>
          <w:iCs w:val="1"/>
          <w:color w:val="auto"/>
        </w:rPr>
        <w:t>Replacement of the Agent</w:t>
      </w:r>
      <w:r>
        <w:rPr>
          <w:rFonts w:ascii="Times New Roman" w:cs="Times New Roman" w:eastAsia="Times New Roman" w:hAnsi="Times New Roman"/>
          <w:sz w:val="18"/>
          <w:szCs w:val="18"/>
          <w:color w:val="auto"/>
        </w:rPr>
        <w:t>), each Party which has made a payment to a trust account in accordance with this Clause 29.5 shall give all requisite instructions to the bank with whom the trust account is held to transfer the amount (together with any accrued interest) to the successor Agent for distribution in accordance with Clause 29.2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for application against amounts due in respect of any Finance Documents that is insufficient to discharge all the amounts then due and payable by Company or the Third Party Security Provider under those Finance Documents, the Agent shall apply that payment towards the obligations of Company or the Third Party Security Provider under those Finance Documents in the following order:</w:t>
      </w:r>
    </w:p>
    <w:p>
      <w:pPr>
        <w:spacing w:after="0" w:line="204"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firstly</w:t>
      </w:r>
      <w:r>
        <w:rPr>
          <w:rFonts w:ascii="Times New Roman" w:cs="Times New Roman" w:eastAsia="Times New Roman" w:hAnsi="Times New Roman"/>
          <w:sz w:val="18"/>
          <w:szCs w:val="18"/>
          <w:color w:val="auto"/>
        </w:rPr>
        <w:t>, in or towards payment pro rata of any unpaid fees, costs and expenses of the Agent and the Security Agent under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ind w:left="1960" w:hanging="656"/>
        <w:spacing w:after="0" w:line="284" w:lineRule="auto"/>
        <w:tabs>
          <w:tab w:leader="none" w:pos="19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secondly</w:t>
      </w:r>
      <w:r>
        <w:rPr>
          <w:rFonts w:ascii="Times New Roman" w:cs="Times New Roman" w:eastAsia="Times New Roman" w:hAnsi="Times New Roman"/>
          <w:sz w:val="18"/>
          <w:szCs w:val="18"/>
          <w:color w:val="auto"/>
        </w:rPr>
        <w:t>, in or towards payment pro rata of any accrued interest, fee or commission due but unpaid under those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thirdly</w:t>
      </w:r>
      <w:r>
        <w:rPr>
          <w:rFonts w:ascii="Times New Roman" w:cs="Times New Roman" w:eastAsia="Times New Roman" w:hAnsi="Times New Roman"/>
          <w:sz w:val="18"/>
          <w:szCs w:val="18"/>
          <w:color w:val="auto"/>
        </w:rPr>
        <w:t>, in or towards payment pro rata of any principal due but unpaid under those Finance Documents;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fourthly</w:t>
      </w:r>
      <w:r>
        <w:rPr>
          <w:rFonts w:ascii="Times New Roman" w:cs="Times New Roman" w:eastAsia="Times New Roman" w:hAnsi="Times New Roman"/>
          <w:sz w:val="18"/>
          <w:szCs w:val="18"/>
          <w:color w:val="auto"/>
        </w:rPr>
        <w:t>, in or towards payment pro rata of any other sum due but unpaid under the Finance Documents.</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Majority Lenders, vary the order set out in paragraphs (a)(ii) to (iv) above.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Company or the Third Party Security Provider.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b w:val="1"/>
          <w:bCs w:val="1"/>
          <w:color w:val="auto"/>
        </w:rPr>
        <w:t>Set-off by the Company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payments to be made by Company or the Third Party Security Provider under the Finance Documents shall be calculated and be made without (and free and clear of any deduction for) set-off or counterclaim.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256" w:lineRule="exact"/>
        <w:rPr>
          <w:sz w:val="20"/>
          <w:szCs w:val="20"/>
          <w:color w:val="auto"/>
        </w:rPr>
      </w:pPr>
    </w:p>
    <w:p>
      <w:pPr>
        <w:ind w:left="1300" w:hanging="644"/>
        <w:spacing w:after="0" w:line="282" w:lineRule="auto"/>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256" w:lineRule="exact"/>
        <w:rPr>
          <w:sz w:val="20"/>
          <w:szCs w:val="20"/>
          <w:color w:val="auto"/>
        </w:rPr>
      </w:pPr>
    </w:p>
    <w:p>
      <w:pPr>
        <w:ind w:left="1300" w:right="2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to (e) below, the Base Currency is the currency of account and payment for any sum due from Company or the Third Party Security Provider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Utilisation or Unpaid Sum or a part of a Utilisation or Unpaid Sum shall be made in the currency in which that Utilisation or Unpaid Sum is denominated on its due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shall be made in the currency in which the sum in respect of which the interest is payable was denominated when that interest accrued.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the Base Currency shall be paid in that other currency.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29.10</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229" w:lineRule="exact"/>
        <w:rPr>
          <w:sz w:val="20"/>
          <w:szCs w:val="20"/>
          <w:color w:val="auto"/>
        </w:rPr>
      </w:pPr>
    </w:p>
    <w:p>
      <w:pPr>
        <w:ind w:left="1300" w:hanging="644"/>
        <w:spacing w:after="0" w:line="282" w:lineRule="auto"/>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ind w:left="1960" w:hanging="656"/>
        <w:spacing w:after="0" w:line="282" w:lineRule="auto"/>
        <w:tabs>
          <w:tab w:leader="none" w:pos="19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London and otherwise to reflect the change in currency.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Company that a Disruption Event has occurred:</w:t>
      </w:r>
    </w:p>
    <w:p>
      <w:pPr>
        <w:spacing w:after="0" w:line="189" w:lineRule="exact"/>
        <w:rPr>
          <w:sz w:val="20"/>
          <w:szCs w:val="20"/>
          <w:color w:val="auto"/>
        </w:rPr>
      </w:pPr>
    </w:p>
    <w:p>
      <w:pPr>
        <w:ind w:left="1300" w:right="20" w:hanging="644"/>
        <w:spacing w:after="0" w:line="282"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Company, consult with the Company with a view to agreeing with the Company such changes to the operation or administration of the Facilities as the Agent may deem necessary in the circumstances;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36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29.11; and</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221" w:lineRule="exact"/>
        <w:rPr>
          <w:sz w:val="20"/>
          <w:szCs w:val="20"/>
          <w:color w:val="auto"/>
        </w:rPr>
      </w:pPr>
    </w:p>
    <w:p>
      <w:pPr>
        <w:ind w:left="660" w:hanging="652"/>
        <w:spacing w:after="0"/>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CONTRACTUAL RECOGNITION OF BAIL-IN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1960" w:right="20" w:hanging="656"/>
        <w:spacing w:after="0" w:line="282" w:lineRule="auto"/>
        <w:tabs>
          <w:tab w:leader="none" w:pos="19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252" w:lineRule="exact"/>
        <w:rPr>
          <w:sz w:val="20"/>
          <w:szCs w:val="20"/>
          <w:color w:val="auto"/>
        </w:rPr>
      </w:pPr>
    </w:p>
    <w:p>
      <w:pPr>
        <w:ind w:left="1300" w:hanging="644"/>
        <w:spacing w:after="0" w:line="282" w:lineRule="auto"/>
        <w:tabs>
          <w:tab w:leader="none" w:pos="13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158" w:lineRule="exact"/>
        <w:rPr>
          <w:sz w:val="20"/>
          <w:szCs w:val="20"/>
          <w:color w:val="auto"/>
        </w:rPr>
      </w:pPr>
    </w:p>
    <w:p>
      <w:pPr>
        <w:ind w:left="660" w:hanging="652"/>
        <w:spacing w:after="0"/>
        <w:tabs>
          <w:tab w:leader="none" w:pos="6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at any time while an Event of Default is continuing and the Majority Lenders so direct, or if a Declared Default is continuing, set-off any matured obligation due from Company or the Third Party Security Provider under the Finance Documents (to the extent beneficially owned by that Finance Party) against any matured obligation owed by that Finance Party to Company or the Third Party Security Provider,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 that notified in writing to the Agent on or prior to the date on which it becomes a Party, or any substitute address, fax number or department or officer as the Party may notify to the Agent (or the Agent may notify to the other Parties, if a change is made by the Agent) by not less than five (5) Business Days’ notice.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ind w:left="1300" w:right="20" w:hanging="644"/>
        <w:spacing w:after="0" w:line="282"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when received in legible form; or</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when it has been left at the relevant address or five (5) Business Days after being deposited in the post postage prepaid in an envelope addressed to it at that address,</w:t>
      </w:r>
    </w:p>
    <w:p>
      <w:pPr>
        <w:spacing w:after="0" w:line="160"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87" w:lineRule="exact"/>
        <w:rPr>
          <w:sz w:val="20"/>
          <w:szCs w:val="20"/>
          <w:color w:val="auto"/>
        </w:rPr>
      </w:pPr>
    </w:p>
    <w:p>
      <w:pPr>
        <w:jc w:val="both"/>
        <w:ind w:left="1300" w:hanging="644"/>
        <w:spacing w:after="0" w:line="261"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or the Security Agent will be effective only when actually received by the Agent or Security Agent, and then only if it is expressly marked for the attention of the department or officer identified with the Agent’s or Security Agent’s signature below (or any substitute department or officer as the Agent or Security Agent shall specify for this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1300" w:hanging="644"/>
        <w:spacing w:after="0"/>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Company or the Third Party Security Provider shall be sent through the Agent.</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Company in accordance with this Clause 32.3 will be deemed to have been made or delivered to each of Company or the Third Party Security Provider.</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227"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color w:val="auto"/>
        </w:rPr>
        <w:t>Promptly upon receipt of notification of an address or fax number, or change of address or fax number pursuant to Clause 32.2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or changing its own address or fax number, the Agent shall notify the other Parties.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56" w:lineRule="exact"/>
        <w:rPr>
          <w:sz w:val="20"/>
          <w:szCs w:val="20"/>
          <w:color w:val="auto"/>
        </w:rPr>
      </w:pPr>
    </w:p>
    <w:p>
      <w:pPr>
        <w:ind w:left="1300" w:hanging="644"/>
        <w:spacing w:after="0" w:line="282" w:lineRule="auto"/>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to be made between the Agent or the Security Agent and a Lender under or in connection with the Finance Documents may be made by electronic mail or other electronic means, if the Agent, the Security Agent and the relevant Lender:</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unless and until notified to the contrary, this is to be an accepted form of communication;</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sending and receipt of information by that means; and</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made between the Agent and a Lender or the Security Agent will be effective only when actually received in readable form and in the case of any electronic communication made by a Lender to the Agent or the Security Agent only if it is addressed in such a manner as the Agent or Security Agent shall specify for this purpose.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original Parties to this Agreement (and any other person which becomes a Party hereto, by its accession to this Agreement unless it expressly notifies each other Party to the contrary at the time of its accession) agrees that communication by electronic mail is an acceptable form of communication under the Finance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7"/>
          <w:szCs w:val="17"/>
          <w:b w:val="1"/>
          <w:bCs w:val="1"/>
          <w:color w:val="auto"/>
        </w:rPr>
        <w:t>Use of websites</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satisfy its obligations under this Agreement to deliver any information in relation to those Lenders (the “</w:t>
      </w:r>
      <w:r>
        <w:rPr>
          <w:rFonts w:ascii="Times New Roman" w:cs="Times New Roman" w:eastAsia="Times New Roman" w:hAnsi="Times New Roman"/>
          <w:sz w:val="18"/>
          <w:szCs w:val="18"/>
          <w:b w:val="1"/>
          <w:bCs w:val="1"/>
          <w:color w:val="auto"/>
        </w:rPr>
        <w:t>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who accept this method of communication by posting this information onto an electronic website designated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Agent (the “</w:t>
      </w:r>
      <w:r>
        <w:rPr>
          <w:rFonts w:ascii="Times New Roman" w:cs="Times New Roman" w:eastAsia="Times New Roman" w:hAnsi="Times New Roman"/>
          <w:sz w:val="18"/>
          <w:szCs w:val="18"/>
          <w:b w:val="1"/>
          <w:bCs w:val="1"/>
          <w:color w:val="auto"/>
        </w:rPr>
        <w:t>Designated Website</w:t>
      </w:r>
      <w:r>
        <w:rPr>
          <w:rFonts w:ascii="Times New Roman" w:cs="Times New Roman" w:eastAsia="Times New Roman" w:hAnsi="Times New Roman"/>
          <w:sz w:val="18"/>
          <w:szCs w:val="18"/>
          <w:color w:val="auto"/>
        </w:rPr>
        <w:t>”) if:</w:t>
      </w:r>
    </w:p>
    <w:p>
      <w:pPr>
        <w:spacing w:after="0" w:line="174"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expressly agrees (after consultation with each of the Lenders) that it will accept communication of the information by this method;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Company and the Agent are aware of the address of and any relevant password specifications for the Designated Website;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in a format previously agreed between the Company and the Agent.</w:t>
      </w:r>
    </w:p>
    <w:p>
      <w:pPr>
        <w:spacing w:after="0" w:line="221"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If any Lender (a “</w:t>
      </w:r>
      <w:r>
        <w:rPr>
          <w:rFonts w:ascii="Times New Roman" w:cs="Times New Roman" w:eastAsia="Times New Roman" w:hAnsi="Times New Roman"/>
          <w:sz w:val="18"/>
          <w:szCs w:val="18"/>
          <w:b w:val="1"/>
          <w:bCs w:val="1"/>
          <w:color w:val="auto"/>
        </w:rPr>
        <w:t>Paper Form Lender</w:t>
      </w:r>
      <w:r>
        <w:rPr>
          <w:rFonts w:ascii="Times New Roman" w:cs="Times New Roman" w:eastAsia="Times New Roman" w:hAnsi="Times New Roman"/>
          <w:sz w:val="18"/>
          <w:szCs w:val="18"/>
          <w:color w:val="auto"/>
        </w:rPr>
        <w:t>”) does not agree to the delivery of information electronically then the Agent shall notify the Company accordingly and the Company shall, at its own cost supply, the information to the Agent (in sufficient copies for each Paper Form Lender) in paper form. In any event the Company shall, at its own cost, supply the Agent with at least one copy in paper form of any information required to be provided by it.</w:t>
      </w:r>
    </w:p>
    <w:p>
      <w:pPr>
        <w:spacing w:after="0" w:line="207" w:lineRule="exact"/>
        <w:rPr>
          <w:sz w:val="20"/>
          <w:szCs w:val="20"/>
          <w:color w:val="auto"/>
        </w:rPr>
      </w:pPr>
    </w:p>
    <w:p>
      <w:pPr>
        <w:ind w:left="1300" w:hanging="644"/>
        <w:spacing w:after="0" w:line="282" w:lineRule="auto"/>
        <w:tabs>
          <w:tab w:leader="none" w:pos="13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supply each Website Lender with the address of and any relevant password specifications for the Designated Website following designation of that website by the Company and the Agent.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upon becoming aware of its occurrence notify the Agent if:</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Website cannot be accessed due to technical failure;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password specifications for the Designated Website change;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information which is required to be provided under this Agreement is posted onto the Designated Website;</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information which has been provided under this Agreement and posted onto the Designated Website is amended;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becomes aware that the Designated Website or any information posted onto the Designated Website is or has been infected by any electronic virus or similar software.</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If the Company notifies the Agent under paragraph (c)(v) or paragraph (c)(iii)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203" w:lineRule="exact"/>
        <w:rPr>
          <w:sz w:val="20"/>
          <w:szCs w:val="20"/>
          <w:color w:val="auto"/>
        </w:rPr>
      </w:pPr>
    </w:p>
    <w:p>
      <w:pPr>
        <w:jc w:val="both"/>
        <w:ind w:left="1300" w:hanging="644"/>
        <w:spacing w:after="0" w:line="266" w:lineRule="auto"/>
        <w:tabs>
          <w:tab w:leader="none" w:pos="13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Website Lender may request, through the Agent, one paper copy of any information required to be provided under this Agreement which is posted onto the Designated Website. The Company shall, at its own cost, comply with any such request within ten (10) Business Days.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8"/>
          <w:szCs w:val="18"/>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58" w:lineRule="exact"/>
        <w:rPr>
          <w:sz w:val="20"/>
          <w:szCs w:val="20"/>
          <w:color w:val="auto"/>
        </w:rPr>
      </w:pPr>
    </w:p>
    <w:p>
      <w:pPr>
        <w:ind w:left="660" w:hanging="652"/>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 AND CERTIFICATES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prima facie evidence of the matters to which it relates.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 or, in any case where the practice in the London interbank market differs, in accordance with that market practice.</w:t>
      </w:r>
    </w:p>
    <w:p>
      <w:pPr>
        <w:spacing w:after="0" w:line="172" w:lineRule="exact"/>
        <w:rPr>
          <w:sz w:val="20"/>
          <w:szCs w:val="20"/>
          <w:color w:val="auto"/>
        </w:rPr>
      </w:pPr>
    </w:p>
    <w:p>
      <w:pPr>
        <w:ind w:left="660" w:hanging="652"/>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exercise, nor any delay in exercising, on the part of any Finance Party or Secured Party, any right or remedy under the Finance Documents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254" w:lineRule="exact"/>
        <w:rPr>
          <w:sz w:val="20"/>
          <w:szCs w:val="20"/>
          <w:color w:val="auto"/>
        </w:rPr>
      </w:pPr>
    </w:p>
    <w:p>
      <w:pPr>
        <w:jc w:val="both"/>
        <w:ind w:left="1300" w:hanging="644"/>
        <w:spacing w:after="0" w:line="267" w:lineRule="auto"/>
        <w:tabs>
          <w:tab w:leader="none" w:pos="13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36.2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any term of the Finance Documents (other than the Fee Letters which may be amended or waived in accordance with its terms) may be amended or waived only with the consent of the Majority Lenders and the Company and any such amendment or waiver will be binding on all Parties.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ind w:left="1300" w:hanging="644"/>
        <w:spacing w:after="0"/>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 any amendment or waiver permitted by this Clause 36.</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the Third Party Security Provider agrees to any such amendment or waiver permitted by this Clause 36 which is agreed to by the Company. This includes any amendment or waiver which would, but for this paragraph (c), require the consent of Company or the Third Party Security Provider.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5" w:lineRule="exact"/>
        <w:rPr>
          <w:sz w:val="20"/>
          <w:szCs w:val="20"/>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36, “</w:t>
      </w:r>
      <w:r>
        <w:rPr>
          <w:rFonts w:ascii="Times New Roman" w:cs="Times New Roman" w:eastAsia="Times New Roman" w:hAnsi="Times New Roman"/>
          <w:sz w:val="18"/>
          <w:szCs w:val="18"/>
          <w:b w:val="1"/>
          <w:bCs w:val="1"/>
          <w:color w:val="auto"/>
        </w:rPr>
        <w:t>Structural Adjustment</w:t>
      </w:r>
      <w:r>
        <w:rPr>
          <w:rFonts w:ascii="Times New Roman" w:cs="Times New Roman" w:eastAsia="Times New Roman" w:hAnsi="Times New Roman"/>
          <w:sz w:val="18"/>
          <w:szCs w:val="18"/>
          <w:color w:val="auto"/>
        </w:rPr>
        <w:t>” means:</w:t>
      </w:r>
    </w:p>
    <w:p>
      <w:pPr>
        <w:spacing w:after="0" w:line="25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 has the effect of changing or which relates 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availability or date of payment of or redenomination of any amount under the Finance Documents;</w:t>
      </w:r>
    </w:p>
    <w:p>
      <w:pPr>
        <w:spacing w:after="0" w:line="252"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Call Price or a reduction in the amount of any payment of principal, interest, fees or commission or other amounts payable;</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any amount under the Finance Documents;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redenomination of a Commitment into another currency;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re-tranching of any or all of the Facilities; or</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addition of, or an extension of any Commitment or the Total Commitments;</w:t>
      </w:r>
    </w:p>
    <w:p>
      <w:pPr>
        <w:spacing w:after="0" w:line="250" w:lineRule="exact"/>
        <w:rPr>
          <w:rFonts w:ascii="Times New Roman" w:cs="Times New Roman" w:eastAsia="Times New Roman" w:hAnsi="Times New Roman"/>
          <w:sz w:val="18"/>
          <w:szCs w:val="18"/>
          <w:color w:val="auto"/>
        </w:rPr>
      </w:pPr>
    </w:p>
    <w:p>
      <w:pPr>
        <w:ind w:left="2600" w:hanging="648"/>
        <w:spacing w:after="0" w:line="284" w:lineRule="auto"/>
        <w:tabs>
          <w:tab w:leader="none" w:pos="260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an additional loan, commitment, tranche or facility into the Finance Documents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subordinate to the Facilities; or</w:t>
      </w:r>
    </w:p>
    <w:p>
      <w:pPr>
        <w:spacing w:after="0" w:line="18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of a term of a Finance Document that is consequential on, incidental to, or required to implement or reflect any of the amendments or waivers lists in paragraph (i) above.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 has the effect of changing or which relates to:</w:t>
      </w:r>
    </w:p>
    <w:p>
      <w:pPr>
        <w:spacing w:after="0" w:line="221"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Super Majority Lenders</w:t>
      </w:r>
      <w:r>
        <w:rPr>
          <w:rFonts w:ascii="Times New Roman" w:cs="Times New Roman" w:eastAsia="Times New Roman" w:hAnsi="Times New Roman"/>
          <w:sz w:val="18"/>
          <w:szCs w:val="18"/>
          <w:color w:val="auto"/>
        </w:rPr>
        <w:t>”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Structural Adjustment</w:t>
      </w:r>
      <w:r>
        <w:rPr>
          <w:rFonts w:ascii="Times New Roman" w:cs="Times New Roman" w:eastAsia="Times New Roman" w:hAnsi="Times New Roman"/>
          <w:sz w:val="18"/>
          <w:szCs w:val="18"/>
          <w:color w:val="auto"/>
        </w:rPr>
        <w:t>” in Clause 36.2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additional loan, tranche, commitment or facility into the Finance Documents ranking senior to the Facilities;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order of priority or subordination under the Subordination Agreement or the manner in which the proceeds of enforcement of Transaction Security are distributed to the extent such amendment or waiver (or any consent or release be agreed thereunder or in relation thereto) would adversely affect the interests of the Lenders under this Agreement (in their capacity as such) provided that any Structural Adjustment and related intercreditor position (whether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junior or with other ranking (other than as set out in (ii) above) to the Facilities and related intercreditor rights and position), shall not be deemed to adversely affect the interests of the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left="1304" w:hanging="656"/>
        <w:spacing w:after="0" w:line="257" w:lineRule="auto"/>
        <w:tabs>
          <w:tab w:leader="none" w:pos="130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2.2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Clause 8.1 (</w:t>
      </w:r>
      <w:r>
        <w:rPr>
          <w:rFonts w:ascii="Times New Roman" w:cs="Times New Roman" w:eastAsia="Times New Roman" w:hAnsi="Times New Roman"/>
          <w:sz w:val="18"/>
          <w:szCs w:val="18"/>
          <w:i w:val="1"/>
          <w:iCs w:val="1"/>
          <w:color w:val="auto"/>
        </w:rPr>
        <w:t>Exit, Delisting or Trading Suspension</w:t>
      </w:r>
      <w:r>
        <w:rPr>
          <w:rFonts w:ascii="Times New Roman" w:cs="Times New Roman" w:eastAsia="Times New Roman" w:hAnsi="Times New Roman"/>
          <w:sz w:val="18"/>
          <w:szCs w:val="18"/>
          <w:color w:val="auto"/>
        </w:rPr>
        <w:t>), Clause 22 (</w:t>
      </w:r>
      <w:r>
        <w:rPr>
          <w:rFonts w:ascii="Times New Roman" w:cs="Times New Roman" w:eastAsia="Times New Roman" w:hAnsi="Times New Roman"/>
          <w:sz w:val="18"/>
          <w:szCs w:val="18"/>
          <w:i w:val="1"/>
          <w:iCs w:val="1"/>
          <w:color w:val="auto"/>
        </w:rPr>
        <w:t>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Lenders</w:t>
      </w:r>
      <w:r>
        <w:rPr>
          <w:rFonts w:ascii="Times New Roman" w:cs="Times New Roman" w:eastAsia="Times New Roman" w:hAnsi="Times New Roman"/>
          <w:sz w:val="18"/>
          <w:szCs w:val="18"/>
          <w:color w:val="auto"/>
        </w:rPr>
        <w:t>) to the extent restricting the rights of the Lenders to assign, transfer or sub-participate their rights or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Finance Documents, Clause 26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 Clause 28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Clause 29.6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(other than (i) any waiver of the minimum transfer and hold amounts or (ii) a waiver of the transfer fees which are payable upon a transfer or assignment which is agreed between the Agent and the Company) or this Clause 36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Borrowers other than in accordance with the terms of the Finance Documents;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in each case other than as a result of a Structural Adjustment, shall not be made without the prior consent of all the Lenders.</w:t>
      </w:r>
    </w:p>
    <w:p>
      <w:pPr>
        <w:spacing w:after="0" w:line="252" w:lineRule="exact"/>
        <w:rPr>
          <w:sz w:val="20"/>
          <w:szCs w:val="20"/>
          <w:color w:val="auto"/>
        </w:rPr>
      </w:pPr>
    </w:p>
    <w:p>
      <w:pPr>
        <w:ind w:left="644" w:hanging="644"/>
        <w:spacing w:after="0"/>
        <w:tabs>
          <w:tab w:leader="none" w:pos="6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Structural Adjustment shall not be made without:</w:t>
      </w:r>
    </w:p>
    <w:p>
      <w:pPr>
        <w:spacing w:after="0" w:line="252" w:lineRule="exact"/>
        <w:rPr>
          <w:rFonts w:ascii="Times New Roman" w:cs="Times New Roman" w:eastAsia="Times New Roman" w:hAnsi="Times New Roman"/>
          <w:sz w:val="18"/>
          <w:szCs w:val="18"/>
          <w:color w:val="auto"/>
        </w:rPr>
      </w:pPr>
    </w:p>
    <w:p>
      <w:pPr>
        <w:jc w:val="both"/>
        <w:ind w:left="1304" w:hanging="656"/>
        <w:spacing w:after="0" w:line="312" w:lineRule="auto"/>
        <w:tabs>
          <w:tab w:leader="none" w:pos="1304"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Structural Adjustment under paragraph (i)(A) of the definition thereof (except in so far as it relates to a redenomination) and paragraph (i)(B) of the definition thereof, each Lender that is participating in that extension or reduction; or</w:t>
      </w:r>
    </w:p>
    <w:p>
      <w:pPr>
        <w:spacing w:after="0" w:line="166" w:lineRule="exact"/>
        <w:rPr>
          <w:rFonts w:ascii="Times New Roman" w:cs="Times New Roman" w:eastAsia="Times New Roman" w:hAnsi="Times New Roman"/>
          <w:sz w:val="17"/>
          <w:szCs w:val="17"/>
          <w:color w:val="auto"/>
        </w:rPr>
      </w:pPr>
    </w:p>
    <w:p>
      <w:pPr>
        <w:jc w:val="both"/>
        <w:ind w:left="1304" w:hanging="656"/>
        <w:spacing w:after="0" w:line="258" w:lineRule="auto"/>
        <w:tabs>
          <w:tab w:leader="none" w:pos="130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Structural Adjustment, the prior consent of the Majority Lenders and each Lender that is participating in that existing or additional tranche or facility or increasing, extending or redenominating its commitments or, as applicable, extending or redenominating or reducing any amount due to it, in each case as contemplated within the definition of Structural Adjustment set out in (a) above (a “</w:t>
      </w:r>
      <w:r>
        <w:rPr>
          <w:rFonts w:ascii="Times New Roman" w:cs="Times New Roman" w:eastAsia="Times New Roman" w:hAnsi="Times New Roman"/>
          <w:sz w:val="18"/>
          <w:szCs w:val="18"/>
          <w:b w:val="1"/>
          <w:bCs w:val="1"/>
          <w:color w:val="auto"/>
        </w:rPr>
        <w:t>Participating Lender</w:t>
      </w:r>
      <w:r>
        <w:rPr>
          <w:rFonts w:ascii="Times New Roman" w:cs="Times New Roman" w:eastAsia="Times New Roman" w:hAnsi="Times New Roman"/>
          <w:sz w:val="18"/>
          <w:szCs w:val="18"/>
          <w:color w:val="auto"/>
        </w:rPr>
        <w:t>”), and provided that the Commitments of each Participating Lender shall be included in ascertaining whether the consent of the Majority Lenders has been achieved.</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Documents may be amended, varied, waived or modified with the agreement of the Company or the Third Party Security Provider (as applicable) and the Security Agent acting in accordance with this Agreement.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directly relates to the specific rights or obligations of the Agent or the Security Agent (each in their capacity as such) may not be effected without the consent of the Agent or the Security Agent. For the avoidance of doubt, this Clause 36.2 shall not entitle any Party to refuse its consent to any release of a guarantee or Transaction Security which would otherwise be permitted under Clause 36.3 (</w:t>
      </w:r>
      <w:r>
        <w:rPr>
          <w:rFonts w:ascii="Times New Roman" w:cs="Times New Roman" w:eastAsia="Times New Roman" w:hAnsi="Times New Roman"/>
          <w:sz w:val="18"/>
          <w:szCs w:val="18"/>
          <w:i w:val="1"/>
          <w:iCs w:val="1"/>
          <w:color w:val="auto"/>
        </w:rPr>
        <w:t>Transaction Security and</w:t>
      </w:r>
      <w:r>
        <w:rPr>
          <w:rFonts w:ascii="Times New Roman" w:cs="Times New Roman" w:eastAsia="Times New Roman" w:hAnsi="Times New Roman"/>
          <w:sz w:val="18"/>
          <w:szCs w:val="18"/>
          <w:color w:val="auto"/>
        </w:rPr>
        <w:t xml:space="preserve"> Guarantees) or another provision of the Finance Documents.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which relates to the rights or obligations applicable to a particular Utilisation, Facility or class of Lenders and which does not materially and adversely affect the rights or interests of Lenders in respect of other Utilisations, Facilities or another class of Lender shall only require the consent of the Majority Lenders, Super Majority Lenders or all Lenders (as applicable) as if references in this paragraph (f) to “Majority Lenders”, “Super Majority Lenders” or “Lenders” were only to Lenders participating in that Utilisation, Facility or forming part of that affected class. For the avoidance of doubt, this paragraph (f) is without prejudice to the ability to effect, make or grant any amendment, waiver, consent or release pursuant to or in accordance with paragraph (d) above.</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133" w:name="page134"/>
    <w:bookmarkEnd w:id="133"/>
    <w:p>
      <w:pPr>
        <w:ind w:left="644" w:hanging="644"/>
        <w:spacing w:after="0" w:line="284" w:lineRule="auto"/>
        <w:tabs>
          <w:tab w:leader="none" w:pos="6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amendment to Clause 8.2 (</w:t>
      </w:r>
      <w:r>
        <w:rPr>
          <w:rFonts w:ascii="Times New Roman" w:cs="Times New Roman" w:eastAsia="Times New Roman" w:hAnsi="Times New Roman"/>
          <w:sz w:val="18"/>
          <w:szCs w:val="18"/>
          <w:i w:val="1"/>
          <w:iCs w:val="1"/>
          <w:color w:val="auto"/>
        </w:rPr>
        <w:t>Disposal, Further Shares Acquisition and Insurance Proceeds</w:t>
      </w:r>
      <w:r>
        <w:rPr>
          <w:rFonts w:ascii="Times New Roman" w:cs="Times New Roman" w:eastAsia="Times New Roman" w:hAnsi="Times New Roman"/>
          <w:sz w:val="18"/>
          <w:szCs w:val="18"/>
          <w:color w:val="auto"/>
        </w:rPr>
        <w:t>) (including a waiver of a right of prepayment) may be approved with the consent of the Majority Lenders.</w:t>
      </w:r>
    </w:p>
    <w:p>
      <w:pPr>
        <w:spacing w:after="0" w:line="160"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to the definition of “Majority Lenders” participating in a particular Facility shall only require the consent of the Lenders participating in that particular Facility.</w:t>
      </w:r>
    </w:p>
    <w:p>
      <w:pPr>
        <w:jc w:val="both"/>
        <w:ind w:left="644" w:hanging="644"/>
        <w:spacing w:after="0" w:line="260" w:lineRule="auto"/>
        <w:tabs>
          <w:tab w:leader="none" w:pos="6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which relates only to the provisions governing transfers by Lenders and which makes such provisions more restrictive for any of the Lenders shall only require the consent of each Lender who will be subject to the resulting additional restrictions.</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Finance Documents, a Finance Party may unilaterally waive, relinquish or otherwise irrevocably give up all or any of its rights under any Finance Document (including any mandatory prepayment right) with the consent of the Company.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Agent (at the request of the Company) has requested the Finance Parties (or any of them) to give a consent in relation to, or to agree a release, waiver or amendment of, any provision of the Finance Documents or other vote of Lenders under the terms of this Agreement, then in the case of:</w:t>
      </w:r>
    </w:p>
    <w:p>
      <w:pPr>
        <w:spacing w:after="0" w:line="202"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who has delivered a consent or agreement to such request, on and from the date of notification thereof to the Agent;</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Lender, on and from the Exclusion Date; and</w:t>
      </w:r>
    </w:p>
    <w:p>
      <w:pPr>
        <w:spacing w:after="0" w:line="252"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Non-Consenting Lender and its applicable participation, (without prejudice to paragraph (ii) above), on and from the date such Lender is replaced in accordance with the provisions of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(on which date a consent or agreement to such request shall be treated and deemed as having been made by such Non-Consenting Lender and received by the Agent),</w:t>
      </w:r>
    </w:p>
    <w:p>
      <w:pPr>
        <w:spacing w:after="0" w:line="180"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(unless otherwise agreed by the Company), such consent or agreement shall from such time (and to the extent subsequently approved by the requisite group of Lenders in accordance with the terms of this Agreement) be irrevocable and binding on such Finance Party, Excluded Lender and Non-Consenting Lender (as applicable) and any permitted assignee, transferee or counterparty to a sub-participation.</w:t>
      </w:r>
    </w:p>
    <w:p>
      <w:pPr>
        <w:spacing w:after="0" w:line="180" w:lineRule="exact"/>
        <w:rPr>
          <w:sz w:val="20"/>
          <w:szCs w:val="20"/>
          <w:color w:val="auto"/>
        </w:rPr>
      </w:pPr>
    </w:p>
    <w:p>
      <w:pPr>
        <w:jc w:val="both"/>
        <w:ind w:left="644" w:hanging="644"/>
        <w:spacing w:after="0" w:line="258" w:lineRule="auto"/>
        <w:tabs>
          <w:tab w:leader="none" w:pos="64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(not being an Excluded Lender) or its permitted assignee or transferee that has expressly not consented or not agreed to a request for an amendment, waiver, consent or release shall always have the right to change or revoke their decision and subsequently deliver to the Agent a consent or agreement to such request at any time during the period for which the vote and request process is open for consents and acceptances as notified by the Agent to such Lender (and subject to any extension of such period as agreed between the Company and the Agent).</w:t>
      </w:r>
    </w:p>
    <w:p>
      <w:pPr>
        <w:spacing w:after="0" w:line="39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5" w:right="339" w:bottom="1440" w:gutter="0" w:footer="0" w:header="0"/>
        </w:sectPr>
      </w:pPr>
    </w:p>
    <w:bookmarkStart w:id="134" w:name="page135"/>
    <w:bookmarkEnd w:id="134"/>
    <w:p>
      <w:pPr>
        <w:jc w:val="both"/>
        <w:ind w:left="1300" w:hanging="644"/>
        <w:spacing w:after="0" w:line="266" w:lineRule="auto"/>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any amendment, waiver, consent or release of a Finance Document made in accordance with Clause 36.3 (</w:t>
      </w:r>
      <w:r>
        <w:rPr>
          <w:rFonts w:ascii="Times New Roman" w:cs="Times New Roman" w:eastAsia="Times New Roman" w:hAnsi="Times New Roman"/>
          <w:sz w:val="18"/>
          <w:szCs w:val="18"/>
          <w:i w:val="1"/>
          <w:iCs w:val="1"/>
          <w:color w:val="auto"/>
        </w:rPr>
        <w:t>Transaction Security and Guarantees</w:t>
      </w:r>
      <w:r>
        <w:rPr>
          <w:rFonts w:ascii="Times New Roman" w:cs="Times New Roman" w:eastAsia="Times New Roman" w:hAnsi="Times New Roman"/>
          <w:sz w:val="18"/>
          <w:szCs w:val="18"/>
          <w:color w:val="auto"/>
        </w:rPr>
        <w:t>) and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shall be binding on all Parties without further consent of any Party.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the Finance Documents may be amended or waived by the Company and the Agent (or, if applicable, the Security Agent) without the consent of any other Party if that amendment or waiver is to cure defects or omissions, resolve ambiguities or inconsistencies, or manifest error or reflect changes of a minor, technical or administrative nature or is otherwise only for the benefit of all or any of the Lenders; or (provided that such waiver or amendment does not adversely affect the interests of the other Lenders whose consent is not required for the applicable amendment) is consequential on, incidental to, or required to implement an amendment, waiver, consent or release set out above.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consent or release made or effected in accordance with any of paragraphs (a) to (n) above, or in accordance with any other term of any of the Finance Documents, shall be binding on all Parties. Each Secured Party irrevocably and unconditionally authorises and instructs the Agent (for the benefit of the Agent and the Company) to execute any documentation relating to a proposed amendment or waiver as soon as the requisite Lender consent is received (or on such later date as may be agreed by the Agent and Company). Without prejudice to the foregoing, the Finance Parties shall enter into any documentation necessary to implement an amendment or waiver once that amendment or waiver has been approved by the requisite number of Lenders determined in accordance with this Clause 36.</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Declared Default, a Default or an Event of Default applicable to all Lenders may be revoked or, as the case may be, waived with the consent of the Majority Lenders. Any notice, demand, declaration or other step or action taken under or pursuant to Clause 21.18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may be revoked with the consent of the Majority Lenders.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36.3</w:t>
      </w:r>
      <w:r>
        <w:rPr>
          <w:sz w:val="20"/>
          <w:szCs w:val="20"/>
          <w:color w:val="auto"/>
        </w:rPr>
        <w:tab/>
      </w:r>
      <w:r>
        <w:rPr>
          <w:rFonts w:ascii="Times New Roman" w:cs="Times New Roman" w:eastAsia="Times New Roman" w:hAnsi="Times New Roman"/>
          <w:sz w:val="17"/>
          <w:szCs w:val="17"/>
          <w:b w:val="1"/>
          <w:bCs w:val="1"/>
          <w:color w:val="auto"/>
        </w:rPr>
        <w:t>Transaction Security and Guarantees</w:t>
      </w:r>
    </w:p>
    <w:p>
      <w:pPr>
        <w:spacing w:after="0" w:line="229" w:lineRule="exact"/>
        <w:rPr>
          <w:sz w:val="20"/>
          <w:szCs w:val="20"/>
          <w:color w:val="auto"/>
        </w:rPr>
      </w:pPr>
    </w:p>
    <w:p>
      <w:pPr>
        <w:ind w:left="1300" w:hanging="644"/>
        <w:spacing w:after="0"/>
        <w:tabs>
          <w:tab w:leader="none" w:pos="13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effect of changes or which relates to:</w:t>
      </w:r>
    </w:p>
    <w:p>
      <w:pPr>
        <w:spacing w:after="0" w:line="252"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permitted by the provisions of any Finance Document) the nature or scope of any guarantee or indemnity granted pursuant to the Charged Property; or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all or substantially all of the Transaction Security or the guarantees or indemnities granted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shall require the consent of the Super Majority Lenders; and</w:t>
      </w:r>
    </w:p>
    <w:p>
      <w:pPr>
        <w:spacing w:after="0" w:line="252" w:lineRule="exact"/>
        <w:rPr>
          <w:sz w:val="20"/>
          <w:szCs w:val="20"/>
          <w:color w:val="auto"/>
        </w:rPr>
      </w:pPr>
    </w:p>
    <w:p>
      <w:pPr>
        <w:ind w:left="1960" w:right="20" w:hanging="656"/>
        <w:spacing w:after="0" w:line="282" w:lineRule="auto"/>
        <w:tabs>
          <w:tab w:leader="none" w:pos="1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effect of charging or which relates to the manner in which the proceeds of enforcement of the Transaction Security are distributed shall not be made without the prior consent of all Lenders,</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in each case unless: (1) that release is to become effective on or following the prepayment and cancellation in full of the Facility (together with any applicable Call Price); (2) that release is otherwise contemplated under this Agreement (including Clause 36.3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and Guarantees</w:t>
      </w:r>
      <w:r>
        <w:rPr>
          <w:rFonts w:ascii="Times New Roman" w:cs="Times New Roman" w:eastAsia="Times New Roman" w:hAnsi="Times New Roman"/>
          <w:sz w:val="18"/>
          <w:szCs w:val="18"/>
          <w:color w:val="auto"/>
        </w:rPr>
        <w:t>), Clause 36.2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and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and/or made or permitted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another provision of the Finance Documents; and (3) the Company and/or assets are directly or indirectly the subject of a Disposal which is a Permitted Disposal or Permitted Transaction (including solvent liquidation, mergers and consolidations), and, in each case, related Structural Adjustment or intercreditor position, in which case approval for any item referred to in paragraphs (i) and (ii) above will be automatic and the Security Agent shall be authorised to release such guarantees or Transaction Security (provided that, where applicable, any such release shall be without prejudice to any obligation to provide replacement security).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left="644" w:hanging="644"/>
        <w:spacing w:after="0" w:line="261" w:lineRule="auto"/>
        <w:tabs>
          <w:tab w:leader="none" w:pos="64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term, condition or restriction in any other Finance Document, the Parties agree that, in connection with any Structural Adjustment and implementation of any intercreditor position, the Company and the Third Party Security Provider are and the Security Agent is authorised to enter into any new Transaction Security Document and/or amend or waive any terms of an existing Transaction Security Document and/or release any asset from Transaction Security subject to the following conditions:</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Transaction Security which secures the Facilities (or following a Structural Adjustment, such new Transaction Security) shall be:</w:t>
      </w:r>
    </w:p>
    <w:p>
      <w:pPr>
        <w:spacing w:after="0" w:line="188"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granted in favour of the Security Agent for and on behalf of the relevant Lenders (as applicable) and the then existing Secured Parties;</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82" w:lineRule="auto"/>
        <w:tabs>
          <w:tab w:leader="none" w:pos="1944"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on terms substantially the same (except that it shall also secure any Facilities arising as a result of or in connection with a Structural Adjustment) as the terms of the existing Transaction Security over equivalent asset(s); and</w:t>
      </w:r>
    </w:p>
    <w:p>
      <w:pPr>
        <w:spacing w:after="0" w:line="188"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Structural Adjustment) treated as securing amounts not in priority to the then existing Transaction Security;</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of a Transaction Security Document or release or release and re-grant of Transaction Security shall only be undertaken:</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the terms of any Facilities arising as a result of or in connection with a Structural Adjustment or to the extent necessary under applicable law to ensure that any Facilities arising as a result of or in connection with a Structural Adjustment ranks in right of payment and security with the Facilities in accordance with the intercreditor position; and</w:t>
      </w:r>
    </w:p>
    <w:p>
      <w:pPr>
        <w:spacing w:after="0" w:line="206" w:lineRule="exact"/>
        <w:rPr>
          <w:rFonts w:ascii="Times New Roman" w:cs="Times New Roman" w:eastAsia="Times New Roman" w:hAnsi="Times New Roman"/>
          <w:sz w:val="18"/>
          <w:szCs w:val="18"/>
          <w:color w:val="auto"/>
        </w:rPr>
      </w:pPr>
    </w:p>
    <w:p>
      <w:pPr>
        <w:jc w:val="both"/>
        <w:ind w:left="1944" w:hanging="648"/>
        <w:spacing w:after="0" w:line="254" w:lineRule="auto"/>
        <w:tabs>
          <w:tab w:leader="none" w:pos="1944"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 is to be released from Transaction Security, promptly upon giving effect to that release, subject to applicable law, replacement Transaction Security is granted in favour of the Security Agent for and on behalf of the relevant Lenders and the existing Secured Parties on substantially the same terms of the Transaction Security released (except that it shall also secure any Facilities arising as a result of or in connection with a Structural Adjustment (together the “</w:t>
      </w:r>
      <w:r>
        <w:rPr>
          <w:rFonts w:ascii="Times New Roman" w:cs="Times New Roman" w:eastAsia="Times New Roman" w:hAnsi="Times New Roman"/>
          <w:sz w:val="18"/>
          <w:szCs w:val="18"/>
          <w:b w:val="1"/>
          <w:bCs w:val="1"/>
          <w:color w:val="auto"/>
        </w:rPr>
        <w:t>New Facilities</w:t>
      </w:r>
      <w:r>
        <w:rPr>
          <w:rFonts w:ascii="Times New Roman" w:cs="Times New Roman" w:eastAsia="Times New Roman" w:hAnsi="Times New Roman"/>
          <w:sz w:val="18"/>
          <w:szCs w:val="18"/>
          <w:color w:val="auto"/>
        </w:rPr>
        <w:t>”)) provided that, in each case, a release coupled with the retaking of Transaction Security shall only be effected where it is not otherwise possible for that New Facility, to so share the benefit of the Transaction Security and there is no reasonable alternative structure and, further, having commercially substantially the same effect (such as, for example, the existing Transaction Security not being released and re-taken, but instead subsequent ranking Transaction Security being granted in respect of that New Facility).</w:t>
      </w:r>
    </w:p>
    <w:p>
      <w:pPr>
        <w:spacing w:after="0" w:line="200" w:lineRule="exact"/>
        <w:rPr>
          <w:sz w:val="20"/>
          <w:szCs w:val="20"/>
          <w:color w:val="auto"/>
        </w:rPr>
      </w:pPr>
    </w:p>
    <w:p>
      <w:pPr>
        <w:spacing w:after="0" w:line="20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36" w:name="page137"/>
    <w:bookmarkEnd w:id="136"/>
    <w:p>
      <w:pPr>
        <w:ind w:left="1300" w:hanging="644"/>
        <w:spacing w:after="0" w:line="282"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Documents may be amended, varied, waived or modified with the agreement of the Company or Third Party Security Provider (as applicable) and the Security Agent acting in accordance with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36.4</w:t>
      </w:r>
      <w:r>
        <w:rPr>
          <w:sz w:val="20"/>
          <w:szCs w:val="20"/>
          <w:color w:val="auto"/>
        </w:rPr>
        <w:tab/>
      </w:r>
      <w:r>
        <w:rPr>
          <w:rFonts w:ascii="Times New Roman" w:cs="Times New Roman" w:eastAsia="Times New Roman" w:hAnsi="Times New Roman"/>
          <w:sz w:val="17"/>
          <w:szCs w:val="17"/>
          <w:b w:val="1"/>
          <w:bCs w:val="1"/>
          <w:color w:val="auto"/>
        </w:rPr>
        <w:t>Replacement of Lender</w:t>
      </w:r>
    </w:p>
    <w:p>
      <w:pPr>
        <w:spacing w:after="0" w:line="229" w:lineRule="exact"/>
        <w:rPr>
          <w:sz w:val="20"/>
          <w:szCs w:val="20"/>
          <w:color w:val="auto"/>
        </w:rPr>
      </w:pPr>
    </w:p>
    <w:p>
      <w:pPr>
        <w:ind w:left="1300" w:hanging="644"/>
        <w:spacing w:after="0"/>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Agent (at the request of the Company) has requested the Lenders to give a consent in relation to, or to agree to a waiver or amendment of, any provisions of the Finance Documents;</w:t>
      </w:r>
    </w:p>
    <w:p>
      <w:pPr>
        <w:spacing w:after="0" w:line="188"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waiver or amendment in question requires the approval of the Super Majority Lenders or all the Lenders (or all the Lenders under a Facility, as the case may be); and</w:t>
      </w:r>
    </w:p>
    <w:p>
      <w:pPr>
        <w:spacing w:after="0" w:line="188"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 the Majority Lenders under the relevant Facility, as the case may be) have consented or agreed to such waiver or amendment,</w:t>
      </w:r>
    </w:p>
    <w:p>
      <w:pPr>
        <w:spacing w:after="0" w:line="162"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then any Lender who does not and continues not to consent or agree to such waiver or amendment by the end of the period of 5 Business Days (or any other period of time notified by the Company, with the prior agreement of the Agent if the period for this provision to operate is less than 5 Business Days) of a request being made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hanging="644"/>
        <w:spacing w:after="0"/>
        <w:tabs>
          <w:tab w:leader="none" w:pos="130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becomes a Non-Consenting Lender;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Third Party Security Provider becomes obliged to repay any amount in accordance with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to pay any amounts pursuant to Clause 12.2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to any Finance Party;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becomes or is a Defaulting Lender,</w:t>
      </w:r>
    </w:p>
    <w:p>
      <w:pPr>
        <w:spacing w:after="0" w:line="221"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then the Company may, provided it gives at least five (5) Business Days prior written (a “</w:t>
      </w:r>
      <w:r>
        <w:rPr>
          <w:rFonts w:ascii="Times New Roman" w:cs="Times New Roman" w:eastAsia="Times New Roman" w:hAnsi="Times New Roman"/>
          <w:sz w:val="18"/>
          <w:szCs w:val="18"/>
          <w:b w:val="1"/>
          <w:bCs w:val="1"/>
          <w:color w:val="auto"/>
        </w:rPr>
        <w:t>Replacement Notice</w:t>
      </w:r>
      <w:r>
        <w:rPr>
          <w:rFonts w:ascii="Times New Roman" w:cs="Times New Roman" w:eastAsia="Times New Roman" w:hAnsi="Times New Roman"/>
          <w:sz w:val="18"/>
          <w:szCs w:val="18"/>
          <w:color w:val="auto"/>
        </w:rPr>
        <w:t>”) notice to the Agent and such Finance Party (a “</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600" w:hanging="648"/>
        <w:spacing w:after="0" w:line="254" w:lineRule="auto"/>
        <w:tabs>
          <w:tab w:leader="none" w:pos="26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a participation of such Replaced Lender by requiring such Replaced Lender to (and such Replaced Lender shall) transfer pursuant to Clause 22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on such dates as specified in the Replacement Notice all or part only of its rights and obligations under this Agreement to a Lender constituting a New Lender under Clause 22.2 (</w:t>
      </w:r>
      <w:r>
        <w:rPr>
          <w:rFonts w:ascii="Times New Roman" w:cs="Times New Roman" w:eastAsia="Times New Roman" w:hAnsi="Times New Roman"/>
          <w:sz w:val="18"/>
          <w:szCs w:val="18"/>
          <w:i w:val="1"/>
          <w:iCs w:val="1"/>
          <w:color w:val="auto"/>
        </w:rPr>
        <w:t>Assignments and Transfers by Lenders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selected by the Company which confirms its (or their) willingness to assume and does assume all or part of the obligations of the Replaced Lender (including the assumption of the Replaced Lender’s participations or unfunded or undrawn participations (as the case may be) on the same basis as the Replaced Lender) for a purchase price in cash payable at the time of transfer in an amount equal to the applicable outstanding principal amount of such Replaced Lender’s participation in the outstanding Utilisations; and/or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both"/>
        <w:ind w:left="1944" w:hanging="648"/>
        <w:spacing w:after="0" w:line="258" w:lineRule="auto"/>
        <w:tabs>
          <w:tab w:leader="none" w:pos="1944"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(or procure that another member of the Group prepays) on such dates as specified in the Replacement Notice, provided that, where a prepayment is made to a Non-Consenting Lender, such prepayment is funded directly or indirectly from New Shareholder Injection (or such other source as approved by the Majority Lenders) all or any part of such Lender’s participation in the outstanding Utilisations and all related costs and expenses then due and payable under the Finance Documents to that Replaced Lender in respect of such prepaid participation; and/or</w:t>
      </w:r>
    </w:p>
    <w:p>
      <w:pPr>
        <w:spacing w:after="0" w:line="183" w:lineRule="exact"/>
        <w:rPr>
          <w:rFonts w:ascii="Times New Roman" w:cs="Times New Roman" w:eastAsia="Times New Roman" w:hAnsi="Times New Roman"/>
          <w:sz w:val="18"/>
          <w:szCs w:val="18"/>
          <w:color w:val="auto"/>
        </w:rPr>
      </w:pPr>
    </w:p>
    <w:p>
      <w:pPr>
        <w:ind w:left="1944" w:right="20" w:hanging="648"/>
        <w:spacing w:after="0" w:line="282" w:lineRule="auto"/>
        <w:tabs>
          <w:tab w:leader="none" w:pos="1944"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all or part of the undrawn Commitments of that Replaced Lender on such dates as specified in the Replacement Notice.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delivered under paragraph (b) above (or any subsequent notice for this purpose, as applicable) may be accompanied by a Transfer Certificate complying with Clause 22.7 (</w:t>
      </w:r>
      <w:r>
        <w:rPr>
          <w:rFonts w:ascii="Times New Roman" w:cs="Times New Roman" w:eastAsia="Times New Roman" w:hAnsi="Times New Roman"/>
          <w:sz w:val="18"/>
          <w:szCs w:val="18"/>
          <w:i w:val="1"/>
          <w:iCs w:val="1"/>
          <w:color w:val="auto"/>
        </w:rPr>
        <w:t>Procedure for transfers</w:t>
      </w:r>
      <w:r>
        <w:rPr>
          <w:rFonts w:ascii="Times New Roman" w:cs="Times New Roman" w:eastAsia="Times New Roman" w:hAnsi="Times New Roman"/>
          <w:sz w:val="18"/>
          <w:szCs w:val="18"/>
          <w:color w:val="auto"/>
        </w:rPr>
        <w:t>) and/or an Assignment Agreement complying with Clause 22.8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and any other related documentation to effect the transfer or assignment, which Transfer Certificate, Assignment Agreement and any other related documentation to effect the transfer or assignment (if attached) shall be promptly (and by no later than five (5) Business Days from receiving such Transfer Certificate, Assignment Agreement and any other related documentation) executed by the relevant Replaced Lender and returned to the Company. Notwithstanding the requirements of Clause 22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or any other provisions of the Finance Documents, if a Replaced Lender does not execute and/or return a Transfer Certificate, an Assignment Agreement and any other related documentation to effect the transfer or assignment as required by this paragraph (c) within three (3) Business Days of delivery by the Company, the relevant transfer or transfers or assignment and assignments shall automatically and immediately be effected for all purposes under the Finance Documents on payment of the replacement amount to the Agent (for the account of the relevant Replaced Lender), and the Agent may (and is authorised by each Finance Party to) execute, without requiring any further consent or action from any other party, a Transfer Certificate, Assignment Agreement and any other related documentation to effect the transfer or assignment on behalf of the relevant Replaced Lender which is required to transfer its rights and obligations or assign its rights under this Agreement pursuant to paragraph (b) above which shall be effective for the purposes of Clause 22.7 (</w:t>
      </w:r>
      <w:r>
        <w:rPr>
          <w:rFonts w:ascii="Times New Roman" w:cs="Times New Roman" w:eastAsia="Times New Roman" w:hAnsi="Times New Roman"/>
          <w:sz w:val="18"/>
          <w:szCs w:val="18"/>
          <w:i w:val="1"/>
          <w:iCs w:val="1"/>
          <w:color w:val="auto"/>
        </w:rPr>
        <w:t>Procedure for transfers</w:t>
      </w:r>
      <w:r>
        <w:rPr>
          <w:rFonts w:ascii="Times New Roman" w:cs="Times New Roman" w:eastAsia="Times New Roman" w:hAnsi="Times New Roman"/>
          <w:sz w:val="18"/>
          <w:szCs w:val="18"/>
          <w:color w:val="auto"/>
        </w:rPr>
        <w:t>) and Clause 22.8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The Agent shall not be liable in any way for any action taken by it pursuant to this paragraph (c) and, for the avoidance of doubt, the provisions of Clause 25.10 (</w:t>
      </w:r>
      <w:r>
        <w:rPr>
          <w:rFonts w:ascii="Times New Roman" w:cs="Times New Roman" w:eastAsia="Times New Roman" w:hAnsi="Times New Roman"/>
          <w:sz w:val="18"/>
          <w:szCs w:val="18"/>
          <w:i w:val="1"/>
          <w:iCs w:val="1"/>
          <w:color w:val="auto"/>
        </w:rPr>
        <w:t>Exclusion of liability</w:t>
      </w:r>
      <w:r>
        <w:rPr>
          <w:rFonts w:ascii="Times New Roman" w:cs="Times New Roman" w:eastAsia="Times New Roman" w:hAnsi="Times New Roman"/>
          <w:sz w:val="18"/>
          <w:szCs w:val="18"/>
          <w:color w:val="auto"/>
        </w:rPr>
        <w:t>) shall apply in relation thereto.</w:t>
      </w:r>
    </w:p>
    <w:p>
      <w:pPr>
        <w:spacing w:after="0" w:line="22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Lender pursuant to this Clause 36.4 shall be subject to the following conditions:</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only exercise its replacement or prepayment rights (pursuant to paragraph (b)(i) above in respect of any Non-Consenting Lender), at any time prior to the date falling 90 days after the Non-Consenting Lender notifies the Borrower and the Agent of its refusal to give a consent to any requested release, waiver or amendment; or (in the case of sub-paragraph (b)(ii) above) within 90 days of becoming aware of such circumstance; or (in the case of sub-paragraph (b)(iii) above) within 90 days of the delivery of the Replacement Notice;</w:t>
      </w:r>
    </w:p>
    <w:p>
      <w:pPr>
        <w:spacing w:after="0" w:line="39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38" w:name="page139"/>
    <w:bookmarkEnd w:id="138"/>
    <w:p>
      <w:pPr>
        <w:ind w:left="1960" w:hanging="656"/>
        <w:spacing w:after="0"/>
        <w:tabs>
          <w:tab w:leader="none" w:pos="19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right to replace the Agent or Security Agent in its capacity as such;</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Lender shall have any obligation to the Company to find a Replacement Lender;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Lender replaced under this Clause 36.4 be required to pay or surrender to such Replacement Lender any of the fees received by such Lender pursuant to the Finance Documents.</w:t>
      </w:r>
    </w:p>
    <w:p>
      <w:pPr>
        <w:spacing w:after="0" w:line="162" w:lineRule="exact"/>
        <w:rPr>
          <w:sz w:val="20"/>
          <w:szCs w:val="20"/>
          <w:color w:val="auto"/>
        </w:rPr>
      </w:pPr>
    </w:p>
    <w:p>
      <w:pPr>
        <w:jc w:val="both"/>
        <w:ind w:left="1300" w:hanging="644"/>
        <w:spacing w:after="0" w:line="258" w:lineRule="auto"/>
        <w:tabs>
          <w:tab w:leader="none" w:pos="130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transfer by a Finance Party of its rights and/or obligations under any relevant Finance Document, occurred or was deemed to occur by way of novation, the Company and the Third Party Security Provider explicitly agrees that all security interests and guarantees created under any Finance Document governed by Luxembourg law shall be preserved for the benefit of the New Lender and the other Finance Parties and, in respect of its rights and/or obligations governed by Luxembourg law, pursuant to article 1278 of the Luxembourg Civil Code.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36.5</w:t>
      </w:r>
      <w:r>
        <w:rPr>
          <w:sz w:val="20"/>
          <w:szCs w:val="20"/>
          <w:color w:val="auto"/>
        </w:rPr>
        <w:tab/>
      </w:r>
      <w:r>
        <w:rPr>
          <w:rFonts w:ascii="Times New Roman" w:cs="Times New Roman" w:eastAsia="Times New Roman" w:hAnsi="Times New Roman"/>
          <w:sz w:val="18"/>
          <w:szCs w:val="18"/>
          <w:b w:val="1"/>
          <w:bCs w:val="1"/>
          <w:color w:val="auto"/>
        </w:rPr>
        <w:t>Excluded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does not accept or reject a request from a member of the Group (or the Agent on behalf of that member of the Group) for any consent or agreement in relation to a release, waiver or amendment of any provisions of the Finance Documents or other vote of Lenders under the terms of the Finance Documents within 10 Business Days, or if such Lender is a Defaulting Lender, 5 Business Days (or any other period of time specified by that member of the Group, but if shorter than 10 Business Days, agreed by the Agent) of the date of such request being made (the last day of such period, “</w:t>
      </w:r>
      <w:r>
        <w:rPr>
          <w:rFonts w:ascii="Times New Roman" w:cs="Times New Roman" w:eastAsia="Times New Roman" w:hAnsi="Times New Roman"/>
          <w:sz w:val="18"/>
          <w:szCs w:val="18"/>
          <w:b w:val="1"/>
          <w:bCs w:val="1"/>
          <w:color w:val="auto"/>
        </w:rPr>
        <w:t>Exclusion Date</w:t>
      </w:r>
      <w:r>
        <w:rPr>
          <w:rFonts w:ascii="Times New Roman" w:cs="Times New Roman" w:eastAsia="Times New Roman" w:hAnsi="Times New Roman"/>
          <w:sz w:val="18"/>
          <w:szCs w:val="18"/>
          <w:color w:val="auto"/>
        </w:rPr>
        <w:t>”);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Non-Consenting Lender fails to assist with any step required to implement the Company’s right to prepay that Non-Consenting Lender or to replace that Non-Consenting Lender pursuant to Clause 36.4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within 3 Business Days of a request to do so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each case:</w:t>
      </w:r>
    </w:p>
    <w:p>
      <w:pPr>
        <w:spacing w:after="0" w:line="221" w:lineRule="exact"/>
        <w:rPr>
          <w:sz w:val="20"/>
          <w:szCs w:val="20"/>
          <w:color w:val="auto"/>
        </w:rPr>
      </w:pPr>
    </w:p>
    <w:p>
      <w:pPr>
        <w:jc w:val="both"/>
        <w:ind w:left="1960" w:hanging="656"/>
        <w:spacing w:after="0" w:line="262" w:lineRule="auto"/>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(an “</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shall be automatically excluded from participating in that vote, and its participations, Commitments and vote (as the case may be) shall not be included (or, as applicable, required) with the Total Commitments or otherwise when ascertaining whether the approval of Majority Lenders, the Super Majority Lenders, all Lenders, or any other class of Lenders (as applicable) has been obtained with respect to that request for a consent or agreement; and</w:t>
      </w:r>
    </w:p>
    <w:p>
      <w:pPr>
        <w:spacing w:after="0" w:line="180"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(b) above only, its status as a Lender shall be disregarded for the purpose of ascertaining whether the agreement of any specified group of Lenders has been obtained to approve the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36.6</w:t>
      </w:r>
      <w:r>
        <w:rPr>
          <w:sz w:val="20"/>
          <w:szCs w:val="20"/>
          <w:color w:val="auto"/>
        </w:rPr>
        <w:tab/>
      </w:r>
      <w:r>
        <w:rPr>
          <w:rFonts w:ascii="Times New Roman" w:cs="Times New Roman" w:eastAsia="Times New Roman" w:hAnsi="Times New Roman"/>
          <w:sz w:val="17"/>
          <w:szCs w:val="17"/>
          <w:b w:val="1"/>
          <w:bCs w:val="1"/>
          <w:color w:val="auto"/>
        </w:rPr>
        <w:t>Disenfranchisement of Defaulting Lenders</w:t>
      </w:r>
    </w:p>
    <w:p>
      <w:pPr>
        <w:spacing w:after="0" w:line="256" w:lineRule="exact"/>
        <w:rPr>
          <w:sz w:val="20"/>
          <w:szCs w:val="20"/>
          <w:color w:val="auto"/>
        </w:rPr>
      </w:pPr>
    </w:p>
    <w:p>
      <w:pPr>
        <w:jc w:val="both"/>
        <w:ind w:left="1300" w:hanging="644"/>
        <w:spacing w:after="0" w:line="261" w:lineRule="auto"/>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ascertaining the Majority Lenders, the Super Majority Lenders or any other class of Lenders (as applicable) or whether any given percentage (including, for the avoidance of doubt, unanimity) of any of the Total Commitments has been obtained to approve any request for a consent, waiver, amendment or other vote under the Finance Documents, a Defaulting Lender’s Commitments and participations will be deemed to be zero.</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36.6, the Agent may assume that the following Lenders are Defaulting Lenders: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 and</w:t>
      </w:r>
    </w:p>
    <w:p>
      <w:pPr>
        <w:spacing w:after="0" w:line="248"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the definition of “</w:t>
      </w:r>
      <w:r>
        <w:rPr>
          <w:rFonts w:ascii="Times New Roman" w:cs="Times New Roman" w:eastAsia="Times New Roman" w:hAnsi="Times New Roman"/>
          <w:sz w:val="18"/>
          <w:szCs w:val="18"/>
          <w:b w:val="1"/>
          <w:bCs w:val="1"/>
          <w:color w:val="auto"/>
        </w:rPr>
        <w:t>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has occurred,</w:t>
      </w:r>
    </w:p>
    <w:p>
      <w:pPr>
        <w:spacing w:after="0" w:line="15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58" w:lineRule="exact"/>
        <w:rPr>
          <w:sz w:val="20"/>
          <w:szCs w:val="20"/>
          <w:color w:val="auto"/>
        </w:rPr>
      </w:pPr>
    </w:p>
    <w:p>
      <w:pPr>
        <w:ind w:left="660" w:hanging="652"/>
        <w:spacing w:after="0"/>
        <w:tabs>
          <w:tab w:leader="none" w:pos="6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7"/>
          <w:szCs w:val="17"/>
          <w:b w:val="1"/>
          <w:bCs w:val="1"/>
          <w:color w:val="auto"/>
        </w:rPr>
        <w:t>Confidential Information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paragraph (b) below, each Finance Party agrees to keep all Confidential Information confidential and not to disclose it to anyone, save to the extent permitted by Clause 37.2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Clause 37.3 (</w:t>
      </w:r>
      <w:r>
        <w:rPr>
          <w:rFonts w:ascii="Times New Roman" w:cs="Times New Roman" w:eastAsia="Times New Roman" w:hAnsi="Times New Roman"/>
          <w:sz w:val="18"/>
          <w:szCs w:val="18"/>
          <w:i w:val="1"/>
          <w:iCs w:val="1"/>
          <w:color w:val="auto"/>
        </w:rPr>
        <w:t>Disclosure to numbering service providers</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176" w:lineRule="exact"/>
        <w:rPr>
          <w:sz w:val="20"/>
          <w:szCs w:val="20"/>
          <w:color w:val="auto"/>
        </w:rPr>
      </w:pPr>
    </w:p>
    <w:p>
      <w:pPr>
        <w:jc w:val="center"/>
        <w:ind w:right="7600"/>
        <w:spacing w:after="0"/>
        <w:tabs>
          <w:tab w:leader="none" w:pos="32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Finance Party may disclose:</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312" w:lineRule="auto"/>
        <w:tabs>
          <w:tab w:leader="none" w:pos="1960"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whom it assigns or transfers (or may potentially assign or transfer) all or any of its rights and/or obligations under one or more Finance Documents and to any of that person’s Affiliates, Related Funds, Representatives and professional advisers;</w:t>
      </w:r>
    </w:p>
    <w:p>
      <w:pPr>
        <w:spacing w:after="0" w:line="139" w:lineRule="exact"/>
        <w:rPr>
          <w:rFonts w:ascii="Times New Roman" w:cs="Times New Roman" w:eastAsia="Times New Roman" w:hAnsi="Times New Roman"/>
          <w:sz w:val="17"/>
          <w:szCs w:val="17"/>
          <w:color w:val="auto"/>
        </w:rPr>
      </w:pPr>
    </w:p>
    <w:p>
      <w:pPr>
        <w:jc w:val="both"/>
        <w:ind w:left="1960" w:hanging="656"/>
        <w:spacing w:after="0" w:line="261" w:lineRule="auto"/>
        <w:tabs>
          <w:tab w:leader="none" w:pos="19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Company or the Third Party Security Provider and to any of that person’s Affiliates, Related Funds, Representatives and professional advisers;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both"/>
        <w:ind w:left="840" w:hanging="656"/>
        <w:spacing w:after="0" w:line="266" w:lineRule="auto"/>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(c) of Clause 25.15 (</w:t>
      </w:r>
      <w:r>
        <w:rPr>
          <w:rFonts w:ascii="Times New Roman" w:cs="Times New Roman" w:eastAsia="Times New Roman" w:hAnsi="Times New Roman"/>
          <w:sz w:val="18"/>
          <w:szCs w:val="18"/>
          <w:i w:val="1"/>
          <w:iCs w:val="1"/>
          <w:color w:val="auto"/>
        </w:rPr>
        <w:t>Relationship with the Lenders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(b)(i) or (ii) above;</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22.12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252"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Company,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225" w:lineRule="exact"/>
        <w:rPr>
          <w:sz w:val="20"/>
          <w:szCs w:val="20"/>
          <w:color w:val="auto"/>
        </w:rPr>
      </w:pPr>
    </w:p>
    <w:p>
      <w:pPr>
        <w:jc w:val="both"/>
        <w:ind w:left="1480" w:hanging="648"/>
        <w:spacing w:after="0" w:line="258" w:lineRule="auto"/>
        <w:tabs>
          <w:tab w:leader="none" w:pos="14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or (ii) above, the person to whom the Confidential Information is to be given has entered into a Confidentiality Undertaking that is capable of being relied upon by the Company without requiring its signature and that cannot be materially amended without the consent of the Company, except that there shall be no requirement for a Confidentiality Undertaking if the recipient is a professional adviser and is subject to professional obligations to maintain the confidentiality of the Confidential Information;</w:t>
      </w:r>
    </w:p>
    <w:p>
      <w:pPr>
        <w:spacing w:after="0" w:line="183" w:lineRule="exact"/>
        <w:rPr>
          <w:rFonts w:ascii="Times New Roman" w:cs="Times New Roman" w:eastAsia="Times New Roman" w:hAnsi="Times New Roman"/>
          <w:sz w:val="18"/>
          <w:szCs w:val="18"/>
          <w:color w:val="auto"/>
        </w:rPr>
      </w:pPr>
    </w:p>
    <w:p>
      <w:pPr>
        <w:jc w:val="both"/>
        <w:ind w:left="1480" w:hanging="648"/>
        <w:spacing w:after="0" w:line="258" w:lineRule="auto"/>
        <w:tabs>
          <w:tab w:leader="none" w:pos="14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that is capable of being relied upon by the Company without requiring its signature and that cannot be materially amended without the consent of the Company, or is otherwise bound by requirements of confidentiality in relation to the Confidential Information they receive and is informed that some or all of such Confidential Information may be price-sensitive information; or</w:t>
      </w:r>
    </w:p>
    <w:p>
      <w:pPr>
        <w:spacing w:after="0" w:line="210"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41" w:name="page142"/>
    <w:bookmarkEnd w:id="141"/>
    <w:p>
      <w:pPr>
        <w:ind w:left="1960"/>
        <w:spacing w:after="0" w:line="282" w:lineRule="auto"/>
        <w:rPr>
          <w:sz w:val="20"/>
          <w:szCs w:val="20"/>
          <w:color w:val="auto"/>
        </w:rPr>
      </w:pPr>
      <w:r>
        <w:rPr>
          <w:rFonts w:ascii="Times New Roman" w:cs="Times New Roman" w:eastAsia="Times New Roman" w:hAnsi="Times New Roman"/>
          <w:sz w:val="18"/>
          <w:szCs w:val="18"/>
          <w:color w:val="auto"/>
        </w:rPr>
        <w:t>and a copy of any such confidentiality undertaking and any amendment thereto shall be provided to the Company at least 3 Business Days prior to the provision of Confidential Information to the relevant person or the relevant amendment taking place;</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 a copy of any such confidentiality undertaking and any amendment thereto shall be provided to the Company within ten (10) Business Days of request by the Company; and</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Company if the rating agency to whom the Confidential Information is to be given is informed of its confidential nature and that some or all of such Confidential Information may be price-sensitive information.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disclose to any national or international numbering service provider appointed by that Finance Party to provide identification numbering services in respect of this Agreement, the Facilities, and/or the Company and the Third Party Security Provider the following information:</w:t>
      </w:r>
    </w:p>
    <w:p>
      <w:pPr>
        <w:spacing w:after="0" w:line="20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the Company and the Third Party Security Provider;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the Company and the Third Party Security Provider;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the Company and the Third Party Security Provider;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Agent;</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of the Facilities;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Facilities;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for Facilities;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 (xi) above;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252" w:lineRule="exact"/>
        <w:rPr>
          <w:sz w:val="20"/>
          <w:szCs w:val="20"/>
          <w:color w:val="auto"/>
        </w:rPr>
      </w:pPr>
    </w:p>
    <w:p>
      <w:pPr>
        <w:jc w:val="both"/>
        <w:ind w:left="1300" w:hanging="644"/>
        <w:spacing w:after="0" w:line="266"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the Facilities, and/or the Company or Third Party Security Provider by a numbering service provider and the information associated with each such number may be disclosed to users of its services in accordance with the standard terms and conditions of that numbering service provider.</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Third Party Security Provider represent that none of the information set out in paragraphs (i) to (xiii) of paragraph (a) above is, nor will at any time be, unpublished, price-sensitive information.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Company and the other Finance Parties of: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numbering service provider appointed by the Agent in respect of this Agreement, the Facilities, and/or the Company or Third Party Security Provider;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as the case may be, numbers assigned to this Agreement, the Facilities, and/or the Company or Third Party Security Provider by such numbering service provider.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37.5</w:t>
      </w:r>
      <w:r>
        <w:rPr>
          <w:sz w:val="20"/>
          <w:szCs w:val="20"/>
          <w:color w:val="auto"/>
        </w:rPr>
        <w:tab/>
      </w:r>
      <w:r>
        <w:rPr>
          <w:rFonts w:ascii="Times New Roman" w:cs="Times New Roman" w:eastAsia="Times New Roman" w:hAnsi="Times New Roman"/>
          <w:sz w:val="18"/>
          <w:szCs w:val="18"/>
          <w:b w:val="1"/>
          <w:bCs w:val="1"/>
          <w:color w:val="auto"/>
        </w:rPr>
        <w:t>Inside information</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Company:</w:t>
      </w:r>
    </w:p>
    <w:p>
      <w:pPr>
        <w:spacing w:after="0" w:line="223" w:lineRule="exact"/>
        <w:rPr>
          <w:sz w:val="20"/>
          <w:szCs w:val="20"/>
          <w:color w:val="auto"/>
        </w:rPr>
      </w:pPr>
    </w:p>
    <w:p>
      <w:pPr>
        <w:jc w:val="both"/>
        <w:ind w:left="1300" w:hanging="644"/>
        <w:spacing w:after="0" w:line="267" w:lineRule="auto"/>
        <w:tabs>
          <w:tab w:leader="none" w:pos="13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37.2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37.</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37.7</w:t>
      </w:r>
      <w:r>
        <w:rPr>
          <w:sz w:val="20"/>
          <w:szCs w:val="20"/>
          <w:color w:val="auto"/>
        </w:rPr>
        <w:tab/>
      </w:r>
      <w:r>
        <w:rPr>
          <w:rFonts w:ascii="Times New Roman" w:cs="Times New Roman" w:eastAsia="Times New Roman" w:hAnsi="Times New Roman"/>
          <w:sz w:val="18"/>
          <w:szCs w:val="18"/>
          <w:b w:val="1"/>
          <w:bCs w:val="1"/>
          <w:color w:val="auto"/>
        </w:rPr>
        <w:t>Continuing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in this Clause 37 are continuing and, in particular, shall survive and remain binding on each Finance Party for a period of 12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Months from the earlier of:</w:t>
      </w:r>
    </w:p>
    <w:p>
      <w:pPr>
        <w:spacing w:after="0" w:line="207" w:lineRule="exact"/>
        <w:rPr>
          <w:sz w:val="20"/>
          <w:szCs w:val="20"/>
          <w:color w:val="auto"/>
        </w:rPr>
      </w:pPr>
    </w:p>
    <w:p>
      <w:pPr>
        <w:ind w:left="1300" w:right="20" w:hanging="644"/>
        <w:spacing w:after="0" w:line="282"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Company and the Third Party Security Provider under or in connection with the Finance Documents have been paid in full and all Commitments have been cancelled or otherwise cease to be available;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221" w:lineRule="exact"/>
        <w:rPr>
          <w:sz w:val="20"/>
          <w:szCs w:val="20"/>
          <w:color w:val="auto"/>
        </w:rPr>
      </w:pPr>
    </w:p>
    <w:p>
      <w:pPr>
        <w:ind w:left="660" w:hanging="652"/>
        <w:spacing w:after="0"/>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 Delivery of a counterpart of this Agreement by email attachment or telecopy shall be an effective mode of delivery.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40.1 is for the benefit of the Finance Parties and Secured Parties only. As a result, no Finance Party or Secured Party shall be prevented from taking proceedings relating to a Dispute in any other courts with jurisdiction of any EU member state or of a country party to the Lugano Convention 2007. To the extent allowed by law, the Finance Parties and Secured Parties may take concurrent proceedings in any number of jurisdictions. Nothing in this Agreement affects any right of a Party to apply for provisional, including protective measures, to enforce a judgment or to enforce against assets, in any jurisdiction.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spacing w:after="0"/>
        <w:tabs>
          <w:tab w:leader="none" w:pos="64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256" w:lineRule="exact"/>
        <w:rPr>
          <w:sz w:val="20"/>
          <w:szCs w:val="20"/>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the Company and Third Party Security Provider:</w:t>
      </w:r>
    </w:p>
    <w:p>
      <w:pPr>
        <w:spacing w:after="0" w:line="252"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Aztiq UK Ltd, a private limited company incorporated under the laws of England and Wales, with registered office at Third Floor Kings House, 174 Hammersmith Road, London, England W6 7JP and with registered company number 07521076 (FAO: Danny Major) as its agent for service of process in relation to any proceedings before the English courts in connection with any Finance Document; and</w:t>
      </w:r>
    </w:p>
    <w:p>
      <w:pPr>
        <w:spacing w:after="0" w:line="206"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Company or the Third Party Security Provider of the process will not invalidate the proceedings concerned.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Company (on behalf itself and the Third Party Security Provider) must promptly (and in any event within ten (10) Business Days of such event taking place) appoint another agent on terms acceptable to the Agent (acting reasonably and in good faith). Failing this, the Agent may appoint another agent for this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AGREEMENT EXECUTION PAGES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[Remainder of the page intentionally left blank; 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711835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THIRD PARTY SECURITY PROVIDER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CELTIC BIDCO S.À R.L.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Carmen André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Carmen André</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Class A Director</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29 Avenue de la Porte Neuve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L-2227 Luxembourg</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Carmen André</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5"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i w:val="1"/>
          <w:iCs w:val="1"/>
          <w:color w:val="auto"/>
        </w:rPr>
        <w:t>[Celtic – Signature Page –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COMPANY and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CELTIC LUX HOLDINGS S.À R.L.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Tomas Ekman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Tomas Ekman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10139"/>
          </w:cols>
          <w:pgMar w:left="320" w:top="873"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Tegelstigen 20</w:t>
      </w:r>
    </w:p>
    <w:p>
      <w:pPr>
        <w:spacing w:after="0" w:line="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Tomas Ekman</w:t>
      </w:r>
      <w:r>
        <w:rPr>
          <w:sz w:val="20"/>
          <w:szCs w:val="20"/>
          <w:color w:val="auto"/>
        </w:rPr>
        <w:tab/>
      </w:r>
      <w:r>
        <w:rPr>
          <w:rFonts w:ascii="Times New Roman" w:cs="Times New Roman" w:eastAsia="Times New Roman" w:hAnsi="Times New Roman"/>
          <w:sz w:val="17"/>
          <w:szCs w:val="17"/>
          <w:color w:val="auto"/>
        </w:rPr>
        <w:t>Vaermdoe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Vaermdoe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13933</w:t>
      </w:r>
    </w:p>
    <w:p>
      <w:pPr>
        <w:spacing w:after="0" w:line="200" w:lineRule="exact"/>
        <w:rPr>
          <w:sz w:val="20"/>
          <w:szCs w:val="20"/>
          <w:color w:val="auto"/>
        </w:rPr>
      </w:pPr>
    </w:p>
    <w:p>
      <w:pPr>
        <w:sectPr>
          <w:pgSz w:w="11900" w:h="16838" w:orient="portrait"/>
          <w:cols w:equalWidth="0" w:num="2">
            <w:col w:w="1080" w:space="220"/>
            <w:col w:w="8839"/>
          </w:cols>
          <w:pgMar w:left="320" w:top="873" w:right="1440" w:bottom="1440" w:gutter="0" w:footer="0" w:header="0"/>
          <w:type w:val="continuous"/>
        </w:sectPr>
      </w:pPr>
    </w:p>
    <w:p>
      <w:pPr>
        <w:spacing w:after="0" w:line="221"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7"/>
          <w:szCs w:val="17"/>
          <w:i w:val="1"/>
          <w:iCs w:val="1"/>
          <w:color w:val="auto"/>
        </w:rPr>
        <w:t>[Celtic – Signature Page –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ALINOR CAPITAL MASTER FUND SCA SICAV-RAIF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acting by Alinor Capital Management LLP as its duly authorized investment manager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Sutton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 Cavendish Square, London, United Kingdom</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Robbie Powell; Johannes Bolzano</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006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10060" w:type="dxa"/>
            <w:vAlign w:val="bottom"/>
          </w:tcPr>
          <w:p>
            <w:pPr>
              <w:ind w:left="2740"/>
              <w:spacing w:after="0"/>
              <w:rPr>
                <w:sz w:val="20"/>
                <w:szCs w:val="20"/>
                <w:color w:val="auto"/>
              </w:rPr>
            </w:pPr>
            <w:r>
              <w:rPr>
                <w:rFonts w:ascii="Times New Roman" w:cs="Times New Roman" w:eastAsia="Times New Roman" w:hAnsi="Times New Roman"/>
                <w:sz w:val="18"/>
                <w:szCs w:val="18"/>
                <w:i w:val="1"/>
                <w:iCs w:val="1"/>
                <w:color w:val="auto"/>
              </w:rPr>
              <w:t>[Celtic – Signature Page – Facility Agreement]</w:t>
            </w:r>
          </w:p>
        </w:tc>
      </w:tr>
      <w:tr>
        <w:trPr>
          <w:trHeight w:val="655"/>
        </w:trPr>
        <w:tc>
          <w:tcPr>
            <w:tcW w:w="11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LOAN AGENCY SERVICES LIMITED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Luxman Jegatheeswaran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Luxman Jegatheeswaran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Head of TMG, UK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2nd Floor, 10 Old Bailey, London, EC4M 7NG, United Kingdom</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Management Group / CELTIC LUX HOLDINGS S.À R.L. (Celtic)</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006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10060" w:type="dxa"/>
            <w:vAlign w:val="bottom"/>
          </w:tcPr>
          <w:p>
            <w:pPr>
              <w:ind w:left="2740"/>
              <w:spacing w:after="0"/>
              <w:rPr>
                <w:sz w:val="20"/>
                <w:szCs w:val="20"/>
                <w:color w:val="auto"/>
              </w:rPr>
            </w:pPr>
            <w:r>
              <w:rPr>
                <w:rFonts w:ascii="Times New Roman" w:cs="Times New Roman" w:eastAsia="Times New Roman" w:hAnsi="Times New Roman"/>
                <w:sz w:val="18"/>
                <w:szCs w:val="18"/>
                <w:i w:val="1"/>
                <w:iCs w:val="1"/>
                <w:color w:val="auto"/>
              </w:rPr>
              <w:t>[Celtic – Signature Page – Facility Agreement]</w:t>
            </w:r>
          </w:p>
        </w:tc>
      </w:tr>
      <w:tr>
        <w:trPr>
          <w:trHeight w:val="682"/>
        </w:trPr>
        <w:tc>
          <w:tcPr>
            <w:tcW w:w="11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SECURITY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GLAS TRUST CORPORATION LIMITED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Luxman Jegatheeswaran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Luxman Jegatheeswaran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Head of TMG, UK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2nd Floor, 10 Old Bailey, London, EC4M 7NG, United Kingdom</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Management Group / CELTIC LUX HOLDINGS S.À R.L. (Celtic)</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006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10060" w:type="dxa"/>
            <w:vAlign w:val="bottom"/>
          </w:tcPr>
          <w:p>
            <w:pPr>
              <w:ind w:left="2740"/>
              <w:spacing w:after="0"/>
              <w:rPr>
                <w:sz w:val="20"/>
                <w:szCs w:val="20"/>
                <w:color w:val="auto"/>
              </w:rPr>
            </w:pPr>
            <w:r>
              <w:rPr>
                <w:rFonts w:ascii="Times New Roman" w:cs="Times New Roman" w:eastAsia="Times New Roman" w:hAnsi="Times New Roman"/>
                <w:sz w:val="18"/>
                <w:szCs w:val="18"/>
                <w:i w:val="1"/>
                <w:iCs w:val="1"/>
                <w:color w:val="auto"/>
              </w:rPr>
              <w:t>[Celtic – Signature Page – Facility Agreement]</w:t>
            </w:r>
          </w:p>
        </w:tc>
      </w:tr>
      <w:tr>
        <w:trPr>
          <w:trHeight w:val="655"/>
        </w:trPr>
        <w:tc>
          <w:tcPr>
            <w:tcW w:w="11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906F60"/>
    <w:multiLevelType w:val="hybridMultilevel"/>
    <w:lvl w:ilvl="0">
      <w:lvlJc w:val="left"/>
      <w:lvlText w:val="2"/>
      <w:numFmt w:val="bullet"/>
      <w:start w:val="1"/>
    </w:lvl>
  </w:abstractNum>
  <w:abstractNum w:abstractNumId="1">
    <w:nsid w:val="10DB9DAA"/>
    <w:multiLevelType w:val="hybridMultilevel"/>
    <w:lvl w:ilvl="0">
      <w:lvlJc w:val="left"/>
      <w:lvlText w:val="3"/>
      <w:numFmt w:val="bullet"/>
      <w:start w:val="1"/>
    </w:lvl>
  </w:abstractNum>
  <w:abstractNum w:abstractNumId="2">
    <w:nsid w:val="697D2D2"/>
    <w:multiLevelType w:val="hybridMultilevel"/>
    <w:lvl w:ilvl="0">
      <w:lvlJc w:val="left"/>
      <w:lvlText w:val="2"/>
      <w:numFmt w:val="bullet"/>
      <w:start w:val="1"/>
    </w:lvl>
  </w:abstractNum>
  <w:abstractNum w:abstractNumId="3">
    <w:nsid w:val="6D68AB2"/>
    <w:multiLevelType w:val="hybridMultilevel"/>
    <w:lvl w:ilvl="0">
      <w:lvlJc w:val="left"/>
      <w:lvlText w:val="3"/>
      <w:numFmt w:val="bullet"/>
      <w:start w:val="1"/>
    </w:lvl>
  </w:abstractNum>
  <w:abstractNum w:abstractNumId="4">
    <w:nsid w:val="3A966CD0"/>
    <w:multiLevelType w:val="hybridMultilevel"/>
    <w:lvl w:ilvl="0">
      <w:lvlJc w:val="left"/>
      <w:lvlText w:val="4"/>
      <w:numFmt w:val="bullet"/>
      <w:start w:val="1"/>
    </w:lvl>
  </w:abstractNum>
  <w:abstractNum w:abstractNumId="5">
    <w:nsid w:val="63F37E85"/>
    <w:multiLevelType w:val="hybridMultilevel"/>
    <w:lvl w:ilvl="0">
      <w:lvlJc w:val="left"/>
      <w:lvlText w:val="(%1)"/>
      <w:numFmt w:val="lowerLetter"/>
      <w:start w:val="1"/>
    </w:lvl>
  </w:abstractNum>
  <w:abstractNum w:abstractNumId="6">
    <w:nsid w:val="5895F5FA"/>
    <w:multiLevelType w:val="hybridMultilevel"/>
    <w:lvl w:ilvl="0">
      <w:lvlJc w:val="left"/>
      <w:lvlText w:val="%1."/>
      <w:numFmt w:val="decimal"/>
      <w:start w:val="9"/>
    </w:lvl>
  </w:abstractNum>
  <w:abstractNum w:abstractNumId="7">
    <w:nsid w:val="38A5D054"/>
    <w:multiLevelType w:val="hybridMultilevel"/>
    <w:lvl w:ilvl="0">
      <w:lvlJc w:val="left"/>
      <w:lvlText w:val="●"/>
      <w:numFmt w:val="bullet"/>
      <w:start w:val="1"/>
    </w:lvl>
  </w:abstractNum>
  <w:abstractNum w:abstractNumId="8">
    <w:nsid w:val="F3F09D8"/>
    <w:multiLevelType w:val="hybridMultilevel"/>
    <w:lvl w:ilvl="0">
      <w:lvlJc w:val="left"/>
      <w:lvlText w:val="●"/>
      <w:numFmt w:val="bullet"/>
      <w:start w:val="1"/>
    </w:lvl>
  </w:abstractNum>
  <w:abstractNum w:abstractNumId="9">
    <w:nsid w:val="4B793735"/>
    <w:multiLevelType w:val="hybridMultilevel"/>
    <w:lvl w:ilvl="0">
      <w:lvlJc w:val="left"/>
      <w:lvlText w:val="(%1)"/>
      <w:numFmt w:val="lowerLetter"/>
      <w:start w:val="7"/>
    </w:lvl>
  </w:abstractNum>
  <w:abstractNum w:abstractNumId="10">
    <w:nsid w:val="4A10B4E8"/>
    <w:multiLevelType w:val="hybridMultilevel"/>
    <w:lvl w:ilvl="0">
      <w:lvlJc w:val="left"/>
      <w:lvlText w:val="●"/>
      <w:numFmt w:val="bullet"/>
      <w:start w:val="1"/>
    </w:lvl>
  </w:abstractNum>
  <w:abstractNum w:abstractNumId="11">
    <w:nsid w:val="43D3BCD4"/>
    <w:multiLevelType w:val="hybridMultilevel"/>
    <w:lvl w:ilvl="0">
      <w:lvlJc w:val="left"/>
      <w:lvlText w:val="●"/>
      <w:numFmt w:val="bullet"/>
      <w:start w:val="1"/>
    </w:lvl>
    <w:lvl w:ilvl="1">
      <w:lvlJc w:val="left"/>
      <w:lvlText w:val="\endash "/>
      <w:numFmt w:val="bullet"/>
      <w:start w:val="1"/>
    </w:lvl>
  </w:abstractNum>
  <w:abstractNum w:abstractNumId="12">
    <w:nsid w:val="4C2A7166"/>
    <w:multiLevelType w:val="hybridMultilevel"/>
    <w:lvl w:ilvl="0">
      <w:lvlJc w:val="left"/>
      <w:lvlText w:val="●"/>
      <w:numFmt w:val="bullet"/>
      <w:start w:val="1"/>
    </w:lvl>
  </w:abstractNum>
  <w:abstractNum w:abstractNumId="13">
    <w:nsid w:val="2E534A82"/>
    <w:multiLevelType w:val="hybridMultilevel"/>
    <w:lvl w:ilvl="0">
      <w:lvlJc w:val="left"/>
      <w:lvlText w:val="(%1)"/>
      <w:numFmt w:val="decimal"/>
      <w:start w:val="1"/>
    </w:lvl>
  </w:abstractNum>
  <w:abstractNum w:abstractNumId="14">
    <w:nsid w:val="26F2D364"/>
    <w:multiLevelType w:val="hybridMultilevel"/>
    <w:lvl w:ilvl="0">
      <w:lvlJc w:val="left"/>
      <w:lvlText w:val="(%1)"/>
      <w:numFmt w:val="decimal"/>
      <w:start w:val="4"/>
    </w:lvl>
  </w:abstractNum>
  <w:abstractNum w:abstractNumId="15">
    <w:nsid w:val="71C1AF98"/>
    <w:multiLevelType w:val="hybridMultilevel"/>
    <w:lvl w:ilvl="0">
      <w:lvlJc w:val="left"/>
      <w:lvlText w:val="1"/>
      <w:numFmt w:val="bullet"/>
      <w:start w:val="1"/>
    </w:lvl>
  </w:abstractNum>
  <w:abstractNum w:abstractNumId="16">
    <w:nsid w:val="3D00B9D9"/>
    <w:multiLevelType w:val="hybridMultilevel"/>
    <w:lvl w:ilvl="0">
      <w:lvlJc w:val="left"/>
      <w:lvlText w:val="(%1)"/>
      <w:numFmt w:val="lowerLetter"/>
      <w:start w:val="1"/>
    </w:lvl>
  </w:abstractNum>
  <w:abstractNum w:abstractNumId="17">
    <w:nsid w:val="15BCABA8"/>
    <w:multiLevelType w:val="hybridMultilevel"/>
    <w:lvl w:ilvl="0">
      <w:lvlJc w:val="left"/>
      <w:lvlText w:val="(%1)"/>
      <w:numFmt w:val="lowerLetter"/>
      <w:start w:val="1"/>
    </w:lvl>
  </w:abstractNum>
  <w:abstractNum w:abstractNumId="18">
    <w:nsid w:val="4E0B9A87"/>
    <w:multiLevelType w:val="hybridMultilevel"/>
    <w:lvl w:ilvl="0">
      <w:lvlJc w:val="left"/>
      <w:lvlText w:val="(%1)"/>
      <w:numFmt w:val="lowerLetter"/>
      <w:start w:val="1"/>
    </w:lvl>
  </w:abstractNum>
  <w:abstractNum w:abstractNumId="19">
    <w:nsid w:val="434BAE75"/>
    <w:multiLevelType w:val="hybridMultilevel"/>
    <w:lvl w:ilvl="0">
      <w:lvlJc w:val="left"/>
      <w:lvlText w:val="(%1)"/>
      <w:numFmt w:val="lowerLetter"/>
      <w:start w:val="1"/>
    </w:lvl>
  </w:abstractNum>
  <w:abstractNum w:abstractNumId="20">
    <w:nsid w:val="4F38F265"/>
    <w:multiLevelType w:val="hybridMultilevel"/>
    <w:lvl w:ilvl="0">
      <w:lvlJc w:val="left"/>
      <w:lvlText w:val="(%1)"/>
      <w:numFmt w:val="lowerLetter"/>
      <w:start w:val="1"/>
    </w:lvl>
  </w:abstractNum>
  <w:abstractNum w:abstractNumId="21">
    <w:nsid w:val="4C502870"/>
    <w:multiLevelType w:val="hybridMultilevel"/>
    <w:lvl w:ilvl="0">
      <w:lvlJc w:val="left"/>
      <w:lvlText w:val="(%1)"/>
      <w:numFmt w:val="lowerLetter"/>
      <w:start w:val="1"/>
    </w:lvl>
  </w:abstractNum>
  <w:abstractNum w:abstractNumId="22">
    <w:nsid w:val="1DE8725A"/>
    <w:multiLevelType w:val="hybridMultilevel"/>
    <w:lvl w:ilvl="0">
      <w:lvlJc w:val="left"/>
      <w:lvlText w:val="(%1)"/>
      <w:numFmt w:val="lowerLetter"/>
      <w:start w:val="1"/>
    </w:lvl>
  </w:abstractNum>
  <w:abstractNum w:abstractNumId="23">
    <w:nsid w:val="6A37288A"/>
    <w:multiLevelType w:val="hybridMultilevel"/>
    <w:lvl w:ilvl="0">
      <w:lvlJc w:val="left"/>
      <w:lvlText w:val="(%1)"/>
      <w:numFmt w:val="lowerRoman"/>
      <w:start w:val="1"/>
    </w:lvl>
  </w:abstractNum>
  <w:abstractNum w:abstractNumId="24">
    <w:nsid w:val="8F8B73F"/>
    <w:multiLevelType w:val="hybridMultilevel"/>
    <w:lvl w:ilvl="0">
      <w:lvlJc w:val="left"/>
      <w:lvlText w:val="(%1)"/>
      <w:numFmt w:val="lowerRoman"/>
      <w:start w:val="2"/>
    </w:lvl>
  </w:abstractNum>
  <w:abstractNum w:abstractNumId="25">
    <w:nsid w:val="CA6B462"/>
    <w:multiLevelType w:val="hybridMultilevel"/>
    <w:lvl w:ilvl="0">
      <w:lvlJc w:val="left"/>
      <w:lvlText w:val="(%1)"/>
      <w:numFmt w:val="lowerLetter"/>
      <w:start w:val="1"/>
    </w:lvl>
  </w:abstractNum>
  <w:abstractNum w:abstractNumId="26">
    <w:nsid w:val="763CB680"/>
    <w:multiLevelType w:val="hybridMultilevel"/>
    <w:lvl w:ilvl="0">
      <w:lvlJc w:val="left"/>
      <w:lvlText w:val="(%1)"/>
      <w:numFmt w:val="lowerLetter"/>
      <w:start w:val="1"/>
    </w:lvl>
  </w:abstractNum>
  <w:abstractNum w:abstractNumId="27">
    <w:nsid w:val="15B7132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
    <w:nsid w:val="3DA97044"/>
    <w:multiLevelType w:val="hybridMultilevel"/>
    <w:lvl w:ilvl="0">
      <w:lvlJc w:val="left"/>
      <w:lvlText w:val="(%1)"/>
      <w:numFmt w:val="lowerLetter"/>
      <w:start w:val="1"/>
    </w:lvl>
    <w:lvl w:ilvl="1">
      <w:lvlJc w:val="left"/>
      <w:lvlText w:val="(%2)"/>
      <w:numFmt w:val="lowerRoman"/>
      <w:start w:val="1"/>
    </w:lvl>
  </w:abstractNum>
  <w:abstractNum w:abstractNumId="29">
    <w:nsid w:val="1CDCE2DE"/>
    <w:multiLevelType w:val="hybridMultilevel"/>
    <w:lvl w:ilvl="0">
      <w:lvlJc w:val="left"/>
      <w:lvlText w:val="(%1)"/>
      <w:numFmt w:val="lowerLetter"/>
      <w:start w:val="1"/>
    </w:lvl>
  </w:abstractNum>
  <w:abstractNum w:abstractNumId="30">
    <w:nsid w:val="69D3947C"/>
    <w:multiLevelType w:val="hybridMultilevel"/>
    <w:lvl w:ilvl="0">
      <w:lvlJc w:val="left"/>
      <w:lvlText w:val="(%1)"/>
      <w:numFmt w:val="lowerLetter"/>
      <w:start w:val="2"/>
    </w:lvl>
  </w:abstractNum>
  <w:abstractNum w:abstractNumId="31">
    <w:nsid w:val="2539DFA5"/>
    <w:multiLevelType w:val="hybridMultilevel"/>
    <w:lvl w:ilvl="0">
      <w:lvlJc w:val="left"/>
      <w:lvlText w:val="(%1)"/>
      <w:numFmt w:val="lowerLetter"/>
      <w:start w:val="1"/>
    </w:lvl>
  </w:abstractNum>
  <w:abstractNum w:abstractNumId="32">
    <w:nsid w:val="2DB88089"/>
    <w:multiLevelType w:val="hybridMultilevel"/>
    <w:lvl w:ilvl="0">
      <w:lvlJc w:val="left"/>
      <w:lvlText w:val="(%1)"/>
      <w:numFmt w:val="lowerLetter"/>
      <w:start w:val="1"/>
    </w:lvl>
  </w:abstractNum>
  <w:abstractNum w:abstractNumId="33">
    <w:nsid w:val="706B674E"/>
    <w:multiLevelType w:val="hybridMultilevel"/>
    <w:lvl w:ilvl="0">
      <w:lvlJc w:val="left"/>
      <w:lvlText w:val="(%1)"/>
      <w:numFmt w:val="lowerRoman"/>
      <w:start w:val="1"/>
    </w:lvl>
  </w:abstractNum>
  <w:abstractNum w:abstractNumId="34">
    <w:nsid w:val="2C106A57"/>
    <w:multiLevelType w:val="hybridMultilevel"/>
    <w:lvl w:ilvl="0">
      <w:lvlJc w:val="left"/>
      <w:lvlText w:val="(%1)"/>
      <w:numFmt w:val="lowerLetter"/>
      <w:start w:val="1"/>
    </w:lvl>
  </w:abstractNum>
  <w:abstractNum w:abstractNumId="35">
    <w:nsid w:val="684EED59"/>
    <w:multiLevelType w:val="hybridMultilevel"/>
    <w:lvl w:ilvl="0">
      <w:lvlJc w:val="left"/>
      <w:lvlText w:val="(%1)"/>
      <w:numFmt w:val="lowerLetter"/>
      <w:start w:val="1"/>
    </w:lvl>
  </w:abstractNum>
  <w:abstractNum w:abstractNumId="36">
    <w:nsid w:val="545EE5D3"/>
    <w:multiLevelType w:val="hybridMultilevel"/>
    <w:lvl w:ilvl="0">
      <w:lvlJc w:val="left"/>
      <w:lvlText w:val="(%1)"/>
      <w:numFmt w:val="lowerLetter"/>
      <w:start w:val="1"/>
    </w:lvl>
  </w:abstractNum>
  <w:abstractNum w:abstractNumId="37">
    <w:nsid w:val="4A66051"/>
    <w:multiLevelType w:val="hybridMultilevel"/>
    <w:lvl w:ilvl="0">
      <w:lvlJc w:val="left"/>
      <w:lvlText w:val="(%1)"/>
      <w:numFmt w:val="lowerLetter"/>
      <w:start w:val="1"/>
    </w:lvl>
  </w:abstractNum>
  <w:abstractNum w:abstractNumId="38">
    <w:nsid w:val="20F4BDAD"/>
    <w:multiLevelType w:val="hybridMultilevel"/>
    <w:lvl w:ilvl="0">
      <w:lvlJc w:val="left"/>
      <w:lvlText w:val="(%1)"/>
      <w:numFmt w:val="lowerRoman"/>
      <w:start w:val="1"/>
    </w:lvl>
  </w:abstractNum>
  <w:abstractNum w:abstractNumId="39">
    <w:nsid w:val="639DEF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
    <w:nsid w:val="501F9786"/>
    <w:multiLevelType w:val="hybridMultilevel"/>
    <w:lvl w:ilvl="0">
      <w:lvlJc w:val="left"/>
      <w:lvlText w:val="(%1)"/>
      <w:numFmt w:val="lowerRoman"/>
      <w:start w:val="2"/>
    </w:lvl>
  </w:abstractNum>
  <w:abstractNum w:abstractNumId="41">
    <w:nsid w:val="6B057295"/>
    <w:multiLevelType w:val="hybridMultilevel"/>
    <w:lvl w:ilvl="0">
      <w:lvlJc w:val="left"/>
      <w:lvlText w:val="(%1)"/>
      <w:numFmt w:val="lowerLetter"/>
      <w:start w:val="1"/>
    </w:lvl>
  </w:abstractNum>
  <w:abstractNum w:abstractNumId="42">
    <w:nsid w:val="2771AC80"/>
    <w:multiLevelType w:val="hybridMultilevel"/>
    <w:lvl w:ilvl="0">
      <w:lvlJc w:val="left"/>
      <w:lvlText w:val="(%1)"/>
      <w:numFmt w:val="lowerLetter"/>
      <w:start w:val="1"/>
    </w:lvl>
  </w:abstractNum>
  <w:abstractNum w:abstractNumId="43">
    <w:nsid w:val="1C4A08EC"/>
    <w:multiLevelType w:val="hybridMultilevel"/>
    <w:lvl w:ilvl="0">
      <w:lvlJc w:val="left"/>
      <w:lvlText w:val="(%1)"/>
      <w:numFmt w:val="lowerLetter"/>
      <w:start w:val="5"/>
    </w:lvl>
  </w:abstractNum>
  <w:abstractNum w:abstractNumId="44">
    <w:nsid w:val="1958BD17"/>
    <w:multiLevelType w:val="hybridMultilevel"/>
    <w:lvl w:ilvl="0">
      <w:lvlJc w:val="left"/>
      <w:lvlText w:val="(%1)"/>
      <w:numFmt w:val="lowerLetter"/>
      <w:start w:val="1"/>
    </w:lvl>
  </w:abstractNum>
  <w:abstractNum w:abstractNumId="45">
    <w:nsid w:val="4E647FE4"/>
    <w:multiLevelType w:val="hybridMultilevel"/>
    <w:lvl w:ilvl="0">
      <w:lvlJc w:val="left"/>
      <w:lvlText w:val="(%1)"/>
      <w:numFmt w:val="lowerLetter"/>
      <w:start w:val="1"/>
    </w:lvl>
  </w:abstractNum>
  <w:abstractNum w:abstractNumId="46">
    <w:nsid w:val="E0BB885"/>
    <w:multiLevelType w:val="hybridMultilevel"/>
    <w:lvl w:ilvl="0">
      <w:lvlJc w:val="left"/>
      <w:lvlText w:val="(%1)"/>
      <w:numFmt w:val="lowerLetter"/>
      <w:start w:val="2"/>
    </w:lvl>
  </w:abstractNum>
  <w:abstractNum w:abstractNumId="47">
    <w:nsid w:val="565976F1"/>
    <w:multiLevelType w:val="hybridMultilevel"/>
    <w:lvl w:ilvl="0">
      <w:lvlJc w:val="left"/>
      <w:lvlText w:val="(%1)"/>
      <w:numFmt w:val="lowerLetter"/>
      <w:start w:val="1"/>
    </w:lvl>
  </w:abstractNum>
  <w:abstractNum w:abstractNumId="48">
    <w:nsid w:val="64212B8C"/>
    <w:multiLevelType w:val="hybridMultilevel"/>
    <w:lvl w:ilvl="0">
      <w:lvlJc w:val="left"/>
      <w:lvlText w:val="(%1)"/>
      <w:numFmt w:val="lowerLetter"/>
      <w:start w:val="1"/>
    </w:lvl>
    <w:lvl w:ilvl="1">
      <w:lvlJc w:val="left"/>
      <w:lvlText w:val="(%2)"/>
      <w:numFmt w:val="lowerRoman"/>
      <w:start w:val="1"/>
    </w:lvl>
  </w:abstractNum>
  <w:abstractNum w:abstractNumId="49">
    <w:nsid w:val="5C17530C"/>
    <w:multiLevelType w:val="hybridMultilevel"/>
    <w:lvl w:ilvl="0">
      <w:lvlJc w:val="left"/>
      <w:lvlText w:val="(%1)"/>
      <w:numFmt w:val="lowerLetter"/>
      <w:start w:val="1"/>
    </w:lvl>
  </w:abstractNum>
  <w:abstractNum w:abstractNumId="50">
    <w:nsid w:val="19A52566"/>
    <w:multiLevelType w:val="hybridMultilevel"/>
    <w:lvl w:ilvl="0">
      <w:lvlJc w:val="left"/>
      <w:lvlText w:val="(%1)"/>
      <w:numFmt w:val="lowerLetter"/>
      <w:start w:val="1"/>
    </w:lvl>
  </w:abstractNum>
  <w:abstractNum w:abstractNumId="51">
    <w:nsid w:val="335A1DF1"/>
    <w:multiLevelType w:val="hybridMultilevel"/>
    <w:lvl w:ilvl="0">
      <w:lvlJc w:val="left"/>
      <w:lvlText w:val="(%1)"/>
      <w:numFmt w:val="lowerLetter"/>
      <w:start w:val="1"/>
    </w:lvl>
  </w:abstractNum>
  <w:abstractNum w:abstractNumId="52">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378D97C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4">
    <w:nsid w:val="1D91467C"/>
    <w:multiLevelType w:val="hybridMultilevel"/>
    <w:lvl w:ilvl="0">
      <w:lvlJc w:val="left"/>
      <w:lvlText w:val="(%1)"/>
      <w:numFmt w:val="lowerLetter"/>
      <w:start w:val="1"/>
    </w:lvl>
  </w:abstractNum>
  <w:abstractNum w:abstractNumId="55">
    <w:nsid w:val="316032BB"/>
    <w:multiLevelType w:val="hybridMultilevel"/>
    <w:lvl w:ilvl="0">
      <w:lvlJc w:val="left"/>
      <w:lvlText w:val="(%1)"/>
      <w:numFmt w:val="lowerLetter"/>
      <w:start w:val="4"/>
    </w:lvl>
  </w:abstractNum>
  <w:abstractNum w:abstractNumId="56">
    <w:nsid w:val="44344C22"/>
    <w:multiLevelType w:val="hybridMultilevel"/>
    <w:lvl w:ilvl="0">
      <w:lvlJc w:val="left"/>
      <w:lvlText w:val="(%1)"/>
      <w:numFmt w:val="lowerLetter"/>
      <w:start w:val="1"/>
    </w:lvl>
  </w:abstractNum>
  <w:abstractNum w:abstractNumId="57">
    <w:nsid w:val="13CDFCFC"/>
    <w:multiLevelType w:val="hybridMultilevel"/>
    <w:lvl w:ilvl="0">
      <w:lvlJc w:val="left"/>
      <w:lvlText w:val="(%1)"/>
      <w:numFmt w:val="lowerLetter"/>
      <w:start w:val="1"/>
    </w:lvl>
  </w:abstractNum>
  <w:abstractNum w:abstractNumId="58">
    <w:nsid w:val="471745E4"/>
    <w:multiLevelType w:val="hybridMultilevel"/>
    <w:lvl w:ilvl="0">
      <w:lvlJc w:val="left"/>
      <w:lvlText w:val="(%1)"/>
      <w:numFmt w:val="lowerLetter"/>
      <w:start w:val="8"/>
    </w:lvl>
  </w:abstractNum>
  <w:abstractNum w:abstractNumId="59">
    <w:nsid w:val="1DDBC66"/>
    <w:multiLevelType w:val="hybridMultilevel"/>
    <w:lvl w:ilvl="0">
      <w:lvlJc w:val="left"/>
      <w:lvlText w:val="(%1)"/>
      <w:numFmt w:val="lowerLetter"/>
      <w:start w:val="1"/>
    </w:lvl>
  </w:abstractNum>
  <w:abstractNum w:abstractNumId="60">
    <w:nsid w:val="30AADFDA"/>
    <w:multiLevelType w:val="hybridMultilevel"/>
    <w:lvl w:ilvl="0">
      <w:lvlJc w:val="left"/>
      <w:lvlText w:val="(%1)"/>
      <w:numFmt w:val="lowerLetter"/>
      <w:start w:val="1"/>
    </w:lvl>
  </w:abstractNum>
  <w:abstractNum w:abstractNumId="61">
    <w:nsid w:val="30EADA61"/>
    <w:multiLevelType w:val="hybridMultilevel"/>
    <w:lvl w:ilvl="0">
      <w:lvlJc w:val="left"/>
      <w:lvlText w:val="(%1)"/>
      <w:numFmt w:val="lowerRoman"/>
      <w:start w:val="1"/>
    </w:lvl>
  </w:abstractNum>
  <w:abstractNum w:abstractNumId="62">
    <w:nsid w:val="27179C0B"/>
    <w:multiLevelType w:val="hybridMultilevel"/>
    <w:lvl w:ilvl="0">
      <w:lvlJc w:val="left"/>
      <w:lvlText w:val="(%1)"/>
      <w:numFmt w:val="lowerRoman"/>
      <w:start w:val="3"/>
    </w:lvl>
  </w:abstractNum>
  <w:abstractNum w:abstractNumId="63">
    <w:nsid w:val="5E636063"/>
    <w:multiLevelType w:val="hybridMultilevel"/>
    <w:lvl w:ilvl="0">
      <w:lvlJc w:val="left"/>
      <w:lvlText w:val="(%1)"/>
      <w:numFmt w:val="lowerLetter"/>
      <w:start w:val="1"/>
    </w:lvl>
  </w:abstractNum>
  <w:abstractNum w:abstractNumId="64">
    <w:nsid w:val="215641AF"/>
    <w:multiLevelType w:val="hybridMultilevel"/>
    <w:lvl w:ilvl="0">
      <w:lvlJc w:val="left"/>
      <w:lvlText w:val="(%1)"/>
      <w:numFmt w:val="lowerLetter"/>
      <w:start w:val="1"/>
    </w:lvl>
  </w:abstractNum>
  <w:abstractNum w:abstractNumId="65">
    <w:nsid w:val="53280662"/>
    <w:multiLevelType w:val="hybridMultilevel"/>
    <w:lvl w:ilvl="0">
      <w:lvlJc w:val="left"/>
      <w:lvlText w:val="(%1)"/>
      <w:numFmt w:val="lowerLetter"/>
      <w:start w:val="1"/>
    </w:lvl>
  </w:abstractNum>
  <w:abstractNum w:abstractNumId="66">
    <w:nsid w:val="46B24DBC"/>
    <w:multiLevelType w:val="hybridMultilevel"/>
    <w:lvl w:ilvl="0">
      <w:lvlJc w:val="left"/>
      <w:lvlText w:val="(%1)"/>
      <w:numFmt w:val="lowerLetter"/>
      <w:start w:val="3"/>
    </w:lvl>
  </w:abstractNum>
  <w:abstractNum w:abstractNumId="67">
    <w:nsid w:val="75B52783"/>
    <w:multiLevelType w:val="hybridMultilevel"/>
    <w:lvl w:ilvl="0">
      <w:lvlJc w:val="left"/>
      <w:lvlText w:val="(%1)"/>
      <w:numFmt w:val="lowerLetter"/>
      <w:start w:val="1"/>
    </w:lvl>
  </w:abstractNum>
  <w:abstractNum w:abstractNumId="68">
    <w:nsid w:val="57CE66B4"/>
    <w:multiLevelType w:val="hybridMultilevel"/>
    <w:lvl w:ilvl="0">
      <w:lvlJc w:val="left"/>
      <w:lvlText w:val="(%1)"/>
      <w:numFmt w:val="lowerLetter"/>
      <w:start w:val="1"/>
    </w:lvl>
  </w:abstractNum>
  <w:abstractNum w:abstractNumId="69">
    <w:nsid w:val="67A70B69"/>
    <w:multiLevelType w:val="hybridMultilevel"/>
    <w:lvl w:ilvl="0">
      <w:lvlJc w:val="left"/>
      <w:lvlText w:val="(%1)"/>
      <w:numFmt w:val="lowerLetter"/>
      <w:start w:val="3"/>
    </w:lvl>
  </w:abstractNum>
  <w:abstractNum w:abstractNumId="70">
    <w:nsid w:val="5953172F"/>
    <w:multiLevelType w:val="hybridMultilevel"/>
    <w:lvl w:ilvl="0">
      <w:lvlJc w:val="left"/>
      <w:lvlText w:val="(%1)"/>
      <w:numFmt w:val="lowerLetter"/>
      <w:start w:val="2"/>
    </w:lvl>
  </w:abstractNum>
  <w:abstractNum w:abstractNumId="71">
    <w:nsid w:val="27EDFE3A"/>
    <w:multiLevelType w:val="hybridMultilevel"/>
    <w:lvl w:ilvl="0">
      <w:lvlJc w:val="left"/>
      <w:lvlText w:val="(%1)"/>
      <w:numFmt w:val="lowerLetter"/>
      <w:start w:val="1"/>
    </w:lvl>
  </w:abstractNum>
  <w:abstractNum w:abstractNumId="72">
    <w:nsid w:val="52AC7DFF"/>
    <w:multiLevelType w:val="hybridMultilevel"/>
    <w:lvl w:ilvl="0">
      <w:lvlJc w:val="left"/>
      <w:lvlText w:val="(%1)"/>
      <w:numFmt w:val="lowerLetter"/>
      <w:start w:val="5"/>
    </w:lvl>
  </w:abstractNum>
  <w:abstractNum w:abstractNumId="73">
    <w:nsid w:val="C4C3AF"/>
    <w:multiLevelType w:val="hybridMultilevel"/>
    <w:lvl w:ilvl="0">
      <w:lvlJc w:val="left"/>
      <w:lvlText w:val="(%1)"/>
      <w:numFmt w:val="lowerLetter"/>
      <w:start w:val="1"/>
    </w:lvl>
  </w:abstractNum>
  <w:abstractNum w:abstractNumId="74">
    <w:nsid w:val="44380727"/>
    <w:multiLevelType w:val="hybridMultilevel"/>
    <w:lvl w:ilvl="0">
      <w:lvlJc w:val="left"/>
      <w:lvlText w:val="(%1)"/>
      <w:numFmt w:val="decimal"/>
      <w:start w:val="5"/>
    </w:lvl>
  </w:abstractNum>
  <w:abstractNum w:abstractNumId="75">
    <w:nsid w:val="6C053B16"/>
    <w:multiLevelType w:val="hybridMultilevel"/>
    <w:lvl w:ilvl="0">
      <w:lvlJc w:val="left"/>
      <w:lvlText w:val="(%1)"/>
      <w:numFmt w:val="lowerLetter"/>
      <w:start w:val="1"/>
    </w:lvl>
  </w:abstractNum>
  <w:abstractNum w:abstractNumId="76">
    <w:nsid w:val="4F294393"/>
    <w:multiLevelType w:val="hybridMultilevel"/>
    <w:lvl w:ilvl="0">
      <w:lvlJc w:val="left"/>
      <w:lvlText w:val="(%1)"/>
      <w:numFmt w:val="lowerLetter"/>
      <w:start w:val="1"/>
    </w:lvl>
  </w:abstractNum>
  <w:abstractNum w:abstractNumId="77">
    <w:nsid w:val="5243BFAC"/>
    <w:multiLevelType w:val="hybridMultilevel"/>
    <w:lvl w:ilvl="0">
      <w:lvlJc w:val="left"/>
      <w:lvlText w:val="(%1)"/>
      <w:numFmt w:val="lowerLetter"/>
      <w:start w:val="1"/>
    </w:lvl>
    <w:lvl w:ilvl="1">
      <w:lvlJc w:val="left"/>
      <w:lvlText w:val="(%2)"/>
      <w:numFmt w:val="lowerRoman"/>
      <w:start w:val="1"/>
    </w:lvl>
  </w:abstractNum>
  <w:abstractNum w:abstractNumId="78">
    <w:nsid w:val="425EB207"/>
    <w:multiLevelType w:val="hybridMultilevel"/>
    <w:lvl w:ilvl="0">
      <w:lvlJc w:val="left"/>
      <w:lvlText w:val="(%1)"/>
      <w:numFmt w:val="lowerLetter"/>
      <w:start w:val="1"/>
    </w:lvl>
    <w:lvl w:ilvl="1">
      <w:lvlJc w:val="left"/>
      <w:lvlText w:val="(%2)"/>
      <w:numFmt w:val="lowerRoman"/>
      <w:start w:val="1"/>
    </w:lvl>
  </w:abstractNum>
  <w:abstractNum w:abstractNumId="79">
    <w:nsid w:val="334A6F1F"/>
    <w:multiLevelType w:val="hybridMultilevel"/>
    <w:lvl w:ilvl="0">
      <w:lvlJc w:val="left"/>
      <w:lvlText w:val="(%1)"/>
      <w:numFmt w:val="lowerRoman"/>
      <w:start w:val="2"/>
    </w:lvl>
  </w:abstractNum>
  <w:abstractNum w:abstractNumId="80">
    <w:nsid w:val="2E5B12B8"/>
    <w:multiLevelType w:val="hybridMultilevel"/>
    <w:lvl w:ilvl="0">
      <w:lvlJc w:val="left"/>
      <w:lvlText w:val="%1"/>
      <w:numFmt w:val="lowerLetter"/>
      <w:start w:val="1"/>
    </w:lvl>
    <w:lvl w:ilvl="1">
      <w:lvlJc w:val="left"/>
      <w:lvlText w:val="(%2)"/>
      <w:numFmt w:val="lowerRoman"/>
      <w:start w:val="14"/>
    </w:lvl>
  </w:abstractNum>
  <w:abstractNum w:abstractNumId="81">
    <w:nsid w:val="5C03D76D"/>
    <w:multiLevelType w:val="hybridMultilevel"/>
    <w:lvl w:ilvl="0">
      <w:lvlJc w:val="left"/>
      <w:lvlText w:val="(%1)"/>
      <w:numFmt w:val="lowerLetter"/>
      <w:start w:val="2"/>
    </w:lvl>
    <w:lvl w:ilvl="1">
      <w:lvlJc w:val="left"/>
      <w:lvlText w:val="%2"/>
      <w:numFmt w:val="lowerRoman"/>
      <w:start w:val="1"/>
    </w:lvl>
  </w:abstractNum>
  <w:abstractNum w:abstractNumId="82">
    <w:nsid w:val="66A48D11"/>
    <w:multiLevelType w:val="hybridMultilevel"/>
    <w:lvl w:ilvl="0">
      <w:lvlJc w:val="left"/>
      <w:lvlText w:val="(%1)"/>
      <w:numFmt w:val="lowerLetter"/>
      <w:start w:val="1"/>
    </w:lvl>
  </w:abstractNum>
  <w:abstractNum w:abstractNumId="83">
    <w:nsid w:val="56C28E34"/>
    <w:multiLevelType w:val="hybridMultilevel"/>
    <w:lvl w:ilvl="0">
      <w:lvlJc w:val="left"/>
      <w:lvlText w:val="(%1)"/>
      <w:numFmt w:val="lowerLetter"/>
      <w:start w:val="1"/>
    </w:lvl>
  </w:abstractNum>
  <w:abstractNum w:abstractNumId="84">
    <w:nsid w:val="13916F2D"/>
    <w:multiLevelType w:val="hybridMultilevel"/>
    <w:lvl w:ilvl="0">
      <w:lvlJc w:val="left"/>
      <w:lvlText w:val="(%1)"/>
      <w:numFmt w:val="lowerLetter"/>
      <w:start w:val="3"/>
    </w:lvl>
  </w:abstractNum>
  <w:abstractNum w:abstractNumId="85">
    <w:nsid w:val="435D38D"/>
    <w:multiLevelType w:val="hybridMultilevel"/>
    <w:lvl w:ilvl="0">
      <w:lvlJc w:val="left"/>
      <w:lvlText w:val="(%1)"/>
      <w:numFmt w:val="lowerLetter"/>
      <w:start w:val="1"/>
    </w:lvl>
  </w:abstractNum>
  <w:abstractNum w:abstractNumId="86">
    <w:nsid w:val="822C0EF"/>
    <w:multiLevelType w:val="hybridMultilevel"/>
    <w:lvl w:ilvl="0">
      <w:lvlJc w:val="left"/>
      <w:lvlText w:val="(%1)"/>
      <w:numFmt w:val="lowerLetter"/>
      <w:start w:val="1"/>
    </w:lvl>
  </w:abstractNum>
  <w:abstractNum w:abstractNumId="87">
    <w:nsid w:val="57C5BB4F"/>
    <w:multiLevelType w:val="hybridMultilevel"/>
    <w:lvl w:ilvl="0">
      <w:lvlJc w:val="left"/>
      <w:lvlText w:val="2"/>
      <w:numFmt w:val="bullet"/>
      <w:start w:val="1"/>
    </w:lvl>
  </w:abstractNum>
  <w:abstractNum w:abstractNumId="88">
    <w:nsid w:val="1803D089"/>
    <w:multiLevelType w:val="hybridMultilevel"/>
    <w:lvl w:ilvl="0">
      <w:lvlJc w:val="left"/>
      <w:lvlText w:val="(%1)"/>
      <w:numFmt w:val="lowerLetter"/>
      <w:start w:val="1"/>
    </w:lvl>
  </w:abstractNum>
  <w:abstractNum w:abstractNumId="89">
    <w:nsid w:val="4F3A06D4"/>
    <w:multiLevelType w:val="hybridMultilevel"/>
    <w:lvl w:ilvl="0">
      <w:lvlJc w:val="left"/>
      <w:lvlText w:val="(%1)"/>
      <w:numFmt w:val="lowerLetter"/>
      <w:start w:val="1"/>
    </w:lvl>
  </w:abstractNum>
  <w:abstractNum w:abstractNumId="90">
    <w:nsid w:val="59A377B6"/>
    <w:multiLevelType w:val="hybridMultilevel"/>
    <w:lvl w:ilvl="0">
      <w:lvlJc w:val="left"/>
      <w:lvlText w:val="(%1)"/>
      <w:numFmt w:val="lowerLetter"/>
      <w:start w:val="1"/>
    </w:lvl>
    <w:lvl w:ilvl="1">
      <w:lvlJc w:val="left"/>
      <w:lvlText w:val="(%2)"/>
      <w:numFmt w:val="lowerRoman"/>
      <w:start w:val="1"/>
    </w:lvl>
  </w:abstractNum>
  <w:abstractNum w:abstractNumId="91">
    <w:nsid w:val="48AEB063"/>
    <w:multiLevelType w:val="hybridMultilevel"/>
    <w:lvl w:ilvl="0">
      <w:lvlJc w:val="left"/>
      <w:lvlText w:val="(%1)"/>
      <w:numFmt w:val="lowerLetter"/>
      <w:start w:val="2"/>
    </w:lvl>
  </w:abstractNum>
  <w:abstractNum w:abstractNumId="92">
    <w:nsid w:val="24E135"/>
    <w:multiLevelType w:val="hybridMultilevel"/>
    <w:lvl w:ilvl="0">
      <w:lvlJc w:val="left"/>
      <w:lvlText w:val="(%1)"/>
      <w:numFmt w:val="lowerLetter"/>
      <w:start w:val="3"/>
    </w:lvl>
  </w:abstractNum>
  <w:abstractNum w:abstractNumId="93">
    <w:nsid w:val="BB13C1"/>
    <w:multiLevelType w:val="hybridMultilevel"/>
    <w:lvl w:ilvl="0">
      <w:lvlJc w:val="left"/>
      <w:lvlText w:val="3"/>
      <w:numFmt w:val="bullet"/>
      <w:start w:val="1"/>
    </w:lvl>
  </w:abstractNum>
  <w:abstractNum w:abstractNumId="94">
    <w:nsid w:val="271210C7"/>
    <w:multiLevelType w:val="hybridMultilevel"/>
    <w:lvl w:ilvl="0">
      <w:lvlJc w:val="left"/>
      <w:lvlText w:val="4"/>
      <w:numFmt w:val="bullet"/>
      <w:start w:val="1"/>
    </w:lvl>
  </w:abstractNum>
  <w:abstractNum w:abstractNumId="95">
    <w:nsid w:val="217B22E4"/>
    <w:multiLevelType w:val="hybridMultilevel"/>
    <w:lvl w:ilvl="0">
      <w:lvlJc w:val="left"/>
      <w:lvlText w:val="(%1)"/>
      <w:numFmt w:val="lowerLetter"/>
      <w:start w:val="1"/>
    </w:lvl>
  </w:abstractNum>
  <w:abstractNum w:abstractNumId="96">
    <w:nsid w:val="53E31A24"/>
    <w:multiLevelType w:val="hybridMultilevel"/>
    <w:lvl w:ilvl="0">
      <w:lvlJc w:val="left"/>
      <w:lvlText w:val="(%1)"/>
      <w:numFmt w:val="lowerLetter"/>
      <w:start w:val="1"/>
    </w:lvl>
  </w:abstractNum>
  <w:abstractNum w:abstractNumId="97">
    <w:nsid w:val="6DC45E83"/>
    <w:multiLevelType w:val="hybridMultilevel"/>
    <w:lvl w:ilvl="0">
      <w:lvlJc w:val="left"/>
      <w:lvlText w:val="(%1)"/>
      <w:numFmt w:val="lowerLetter"/>
      <w:start w:val="1"/>
    </w:lvl>
  </w:abstractNum>
  <w:abstractNum w:abstractNumId="98">
    <w:nsid w:val="17304A67"/>
    <w:multiLevelType w:val="hybridMultilevel"/>
    <w:lvl w:ilvl="0">
      <w:lvlJc w:val="left"/>
      <w:lvlText w:val="5"/>
      <w:numFmt w:val="bullet"/>
      <w:start w:val="1"/>
    </w:lvl>
  </w:abstractNum>
  <w:abstractNum w:abstractNumId="99">
    <w:nsid w:val="2BB180D8"/>
    <w:multiLevelType w:val="hybridMultilevel"/>
    <w:lvl w:ilvl="0">
      <w:lvlJc w:val="left"/>
      <w:lvlText w:val="(%1)"/>
      <w:numFmt w:val="lowerLetter"/>
      <w:start w:val="1"/>
    </w:lvl>
    <w:lvl w:ilvl="1">
      <w:lvlJc w:val="left"/>
      <w:lvlText w:val="(%2)"/>
      <w:numFmt w:val="lowerRoman"/>
      <w:start w:val="1"/>
    </w:lvl>
  </w:abstractNum>
  <w:abstractNum w:abstractNumId="100">
    <w:nsid w:val="556B69ED"/>
    <w:multiLevelType w:val="hybridMultilevel"/>
    <w:lvl w:ilvl="0">
      <w:lvlJc w:val="left"/>
      <w:lvlText w:val="(%1)"/>
      <w:numFmt w:val="lowerLetter"/>
      <w:start w:val="1"/>
    </w:lvl>
  </w:abstractNum>
  <w:abstractNum w:abstractNumId="101">
    <w:nsid w:val="70836196"/>
    <w:multiLevelType w:val="hybridMultilevel"/>
    <w:lvl w:ilvl="0">
      <w:lvlJc w:val="left"/>
      <w:lvlText w:val="(%1)"/>
      <w:numFmt w:val="lowerLetter"/>
      <w:start w:val="1"/>
    </w:lvl>
  </w:abstractNum>
  <w:abstractNum w:abstractNumId="102">
    <w:nsid w:val="539F7F12"/>
    <w:multiLevelType w:val="hybridMultilevel"/>
    <w:lvl w:ilvl="0">
      <w:lvlJc w:val="left"/>
      <w:lvlText w:val="(%1)"/>
      <w:numFmt w:val="lowerLetter"/>
      <w:start w:val="2"/>
    </w:lvl>
  </w:abstractNum>
  <w:abstractNum w:abstractNumId="103">
    <w:nsid w:val="2817E7EC"/>
    <w:multiLevelType w:val="hybridMultilevel"/>
    <w:lvl w:ilvl="0">
      <w:lvlJc w:val="left"/>
      <w:lvlText w:val="6"/>
      <w:numFmt w:val="bullet"/>
      <w:start w:val="1"/>
    </w:lvl>
  </w:abstractNum>
  <w:abstractNum w:abstractNumId="104">
    <w:nsid w:val="71482545"/>
    <w:multiLevelType w:val="hybridMultilevel"/>
    <w:lvl w:ilvl="0">
      <w:lvlJc w:val="left"/>
      <w:lvlText w:val="(%1)"/>
      <w:numFmt w:val="lowerLetter"/>
      <w:start w:val="1"/>
    </w:lvl>
  </w:abstractNum>
  <w:abstractNum w:abstractNumId="105">
    <w:nsid w:val="17D78639"/>
    <w:multiLevelType w:val="hybridMultilevel"/>
    <w:lvl w:ilvl="0">
      <w:lvlJc w:val="left"/>
      <w:lvlText w:val="7"/>
      <w:numFmt w:val="bullet"/>
      <w:start w:val="1"/>
    </w:lvl>
  </w:abstractNum>
  <w:abstractNum w:abstractNumId="106">
    <w:nsid w:val="141D2302"/>
    <w:multiLevelType w:val="hybridMultilevel"/>
    <w:lvl w:ilvl="0">
      <w:lvlJc w:val="left"/>
      <w:lvlText w:val="(%1)"/>
      <w:numFmt w:val="lowerLetter"/>
      <w:start w:val="1"/>
    </w:lvl>
  </w:abstractNum>
  <w:abstractNum w:abstractNumId="107">
    <w:nsid w:val="407168D8"/>
    <w:multiLevelType w:val="hybridMultilevel"/>
    <w:lvl w:ilvl="0">
      <w:lvlJc w:val="left"/>
      <w:lvlText w:val="(%1)"/>
      <w:numFmt w:val="lowerLetter"/>
      <w:start w:val="1"/>
    </w:lvl>
  </w:abstractNum>
  <w:abstractNum w:abstractNumId="108">
    <w:nsid w:val="6A1B45E5"/>
    <w:multiLevelType w:val="hybridMultilevel"/>
    <w:lvl w:ilvl="0">
      <w:lvlJc w:val="left"/>
      <w:lvlText w:val="(%1)"/>
      <w:numFmt w:val="lowerLetter"/>
      <w:start w:val="2"/>
    </w:lvl>
  </w:abstractNum>
  <w:abstractNum w:abstractNumId="109">
    <w:nsid w:val="567BD50A"/>
    <w:multiLevelType w:val="hybridMultilevel"/>
    <w:lvl w:ilvl="0">
      <w:lvlJc w:val="left"/>
      <w:lvlText w:val="(%1)"/>
      <w:numFmt w:val="lowerLetter"/>
      <w:start w:val="1"/>
    </w:lvl>
    <w:lvl w:ilvl="1">
      <w:lvlJc w:val="left"/>
      <w:lvlText w:val="(%2)"/>
      <w:numFmt w:val="lowerRoman"/>
      <w:start w:val="1"/>
    </w:lvl>
  </w:abstractNum>
  <w:abstractNum w:abstractNumId="110">
    <w:nsid w:val="73BBD7F8"/>
    <w:multiLevelType w:val="hybridMultilevel"/>
    <w:lvl w:ilvl="0">
      <w:lvlJc w:val="left"/>
      <w:lvlText w:val="(%1)"/>
      <w:numFmt w:val="lowerLetter"/>
      <w:start w:val="2"/>
    </w:lvl>
  </w:abstractNum>
  <w:abstractNum w:abstractNumId="111">
    <w:nsid w:val="1876589D"/>
    <w:multiLevelType w:val="hybridMultilevel"/>
    <w:lvl w:ilvl="0">
      <w:lvlJc w:val="left"/>
      <w:lvlText w:val="(%1)"/>
      <w:numFmt w:val="lowerLetter"/>
      <w:start w:val="1"/>
    </w:lvl>
  </w:abstractNum>
  <w:abstractNum w:abstractNumId="112">
    <w:nsid w:val="327FAC77"/>
    <w:multiLevelType w:val="hybridMultilevel"/>
    <w:lvl w:ilvl="0">
      <w:lvlJc w:val="left"/>
      <w:lvlText w:val="8"/>
      <w:numFmt w:val="bullet"/>
      <w:start w:val="1"/>
    </w:lvl>
  </w:abstractNum>
  <w:abstractNum w:abstractNumId="113">
    <w:nsid w:val="5A606509"/>
    <w:multiLevelType w:val="hybridMultilevel"/>
    <w:lvl w:ilvl="0">
      <w:lvlJc w:val="left"/>
      <w:lvlText w:val="(%1)"/>
      <w:numFmt w:val="lowerLetter"/>
      <w:start w:val="1"/>
    </w:lvl>
    <w:lvl w:ilvl="1">
      <w:lvlJc w:val="left"/>
      <w:lvlText w:val="(%2)"/>
      <w:numFmt w:val="lowerRoman"/>
      <w:start w:val="1"/>
    </w:lvl>
  </w:abstractNum>
  <w:abstractNum w:abstractNumId="114">
    <w:nsid w:val="6F38E6D1"/>
    <w:multiLevelType w:val="hybridMultilevel"/>
    <w:lvl w:ilvl="0">
      <w:lvlJc w:val="left"/>
      <w:lvlText w:val="(%1)"/>
      <w:numFmt w:val="lowerLetter"/>
      <w:start w:val="1"/>
    </w:lvl>
    <w:lvl w:ilvl="1">
      <w:lvlJc w:val="left"/>
      <w:lvlText w:val="(%2)"/>
      <w:numFmt w:val="lowerRoman"/>
      <w:start w:val="1"/>
    </w:lvl>
  </w:abstractNum>
  <w:abstractNum w:abstractNumId="115">
    <w:nsid w:val="46111BA5"/>
    <w:multiLevelType w:val="hybridMultilevel"/>
    <w:lvl w:ilvl="0">
      <w:lvlJc w:val="left"/>
      <w:lvlText w:val="(%1)"/>
      <w:numFmt w:val="lowerRoman"/>
      <w:start w:val="1"/>
    </w:lvl>
  </w:abstractNum>
  <w:abstractNum w:abstractNumId="116">
    <w:nsid w:val="5E963896"/>
    <w:multiLevelType w:val="hybridMultilevel"/>
    <w:lvl w:ilvl="0">
      <w:lvlJc w:val="left"/>
      <w:lvlText w:val="(%1)"/>
      <w:numFmt w:val="lowerRoman"/>
      <w:start w:val="3"/>
    </w:lvl>
  </w:abstractNum>
  <w:abstractNum w:abstractNumId="117">
    <w:nsid w:val="775BA7C1"/>
    <w:multiLevelType w:val="hybridMultilevel"/>
    <w:lvl w:ilvl="0">
      <w:lvlJc w:val="left"/>
      <w:lvlText w:val="%1"/>
      <w:numFmt w:val="lowerLetter"/>
      <w:start w:val="1"/>
    </w:lvl>
    <w:lvl w:ilvl="1">
      <w:lvlJc w:val="left"/>
      <w:lvlText w:val="(%2)"/>
      <w:numFmt w:val="lowerRoman"/>
      <w:start w:val="1"/>
    </w:lvl>
  </w:abstractNum>
  <w:abstractNum w:abstractNumId="118">
    <w:nsid w:val="1DD6D6F4"/>
    <w:multiLevelType w:val="hybridMultilevel"/>
    <w:lvl w:ilvl="0">
      <w:lvlJc w:val="left"/>
      <w:lvlText w:val="(%1)"/>
      <w:numFmt w:val="lowerLetter"/>
      <w:start w:val="2"/>
    </w:lvl>
    <w:lvl w:ilvl="1">
      <w:lvlJc w:val="left"/>
      <w:lvlText w:val="%2"/>
      <w:numFmt w:val="lowerRoman"/>
      <w:start w:val="1"/>
    </w:lvl>
  </w:abstractNum>
  <w:abstractNum w:abstractNumId="119">
    <w:nsid w:val="769A091F"/>
    <w:multiLevelType w:val="hybridMultilevel"/>
    <w:lvl w:ilvl="0">
      <w:lvlJc w:val="left"/>
      <w:lvlText w:val="(%1)"/>
      <w:numFmt w:val="lowerLetter"/>
      <w:start w:val="3"/>
    </w:lvl>
    <w:lvl w:ilvl="1">
      <w:lvlJc w:val="left"/>
      <w:lvlText w:val="(%2)"/>
      <w:numFmt w:val="lowerRoman"/>
      <w:start w:val="1"/>
    </w:lvl>
  </w:abstractNum>
  <w:abstractNum w:abstractNumId="120">
    <w:nsid w:val="4695AE95"/>
    <w:multiLevelType w:val="hybridMultilevel"/>
    <w:lvl w:ilvl="0">
      <w:lvlJc w:val="left"/>
      <w:lvlText w:val="(%1)"/>
      <w:numFmt w:val="lowerLetter"/>
      <w:start w:val="1"/>
    </w:lvl>
    <w:lvl w:ilvl="1">
      <w:lvlJc w:val="left"/>
      <w:lvlText w:val="(%2)"/>
      <w:numFmt w:val="lowerRoman"/>
      <w:start w:val="1"/>
    </w:lvl>
  </w:abstractNum>
  <w:abstractNum w:abstractNumId="121">
    <w:nsid w:val="777A4EAA"/>
    <w:multiLevelType w:val="hybridMultilevel"/>
    <w:lvl w:ilvl="0">
      <w:lvlJc w:val="left"/>
      <w:lvlText w:val="(%1)"/>
      <w:numFmt w:val="lowerLetter"/>
      <w:start w:val="1"/>
    </w:lvl>
  </w:abstractNum>
  <w:abstractNum w:abstractNumId="122">
    <w:nsid w:val="3F48B982"/>
    <w:multiLevelType w:val="hybridMultilevel"/>
    <w:lvl w:ilvl="0">
      <w:lvlJc w:val="left"/>
      <w:lvlText w:val="9"/>
      <w:numFmt w:val="bullet"/>
      <w:start w:val="1"/>
    </w:lvl>
  </w:abstractNum>
  <w:abstractNum w:abstractNumId="123">
    <w:nsid w:val="46BA8FCA"/>
    <w:multiLevelType w:val="hybridMultilevel"/>
    <w:lvl w:ilvl="0">
      <w:lvlJc w:val="left"/>
      <w:lvlText w:val="(%1)"/>
      <w:numFmt w:val="lowerLetter"/>
      <w:start w:val="1"/>
    </w:lvl>
  </w:abstractNum>
  <w:abstractNum w:abstractNumId="124">
    <w:nsid w:val="7835626C"/>
    <w:multiLevelType w:val="hybridMultilevel"/>
    <w:lvl w:ilvl="0">
      <w:lvlJc w:val="left"/>
      <w:lvlText w:val="(%1)"/>
      <w:numFmt w:val="lowerLetter"/>
      <w:start w:val="3"/>
    </w:lvl>
  </w:abstractNum>
  <w:abstractNum w:abstractNumId="125">
    <w:nsid w:val="665ACA49"/>
    <w:multiLevelType w:val="hybridMultilevel"/>
    <w:lvl w:ilvl="0">
      <w:lvlJc w:val="left"/>
      <w:lvlText w:val="%1"/>
      <w:numFmt w:val="decimal"/>
      <w:start w:val="10"/>
    </w:lvl>
    <w:lvl w:ilvl="1">
      <w:lvlJc w:val="left"/>
      <w:lvlText w:val="(%2)"/>
      <w:numFmt w:val="lowerLetter"/>
      <w:start w:val="1"/>
    </w:lvl>
  </w:abstractNum>
  <w:abstractNum w:abstractNumId="126">
    <w:nsid w:val="6835B2AE"/>
    <w:multiLevelType w:val="hybridMultilevel"/>
    <w:lvl w:ilvl="0">
      <w:lvlJc w:val="left"/>
      <w:lvlText w:val="%1"/>
      <w:numFmt w:val="decimal"/>
      <w:start w:val="12"/>
    </w:lvl>
  </w:abstractNum>
  <w:abstractNum w:abstractNumId="127">
    <w:nsid w:val="4C187C90"/>
    <w:multiLevelType w:val="hybridMultilevel"/>
    <w:lvl w:ilvl="0">
      <w:lvlJc w:val="left"/>
      <w:lvlText w:val="(%1)"/>
      <w:numFmt w:val="lowerLetter"/>
      <w:start w:val="1"/>
    </w:lvl>
  </w:abstractNum>
  <w:abstractNum w:abstractNumId="128">
    <w:nsid w:val="541F28CD"/>
    <w:multiLevelType w:val="hybridMultilevel"/>
    <w:lvl w:ilvl="0">
      <w:lvlJc w:val="left"/>
      <w:lvlText w:val="(%1)"/>
      <w:numFmt w:val="lowerLetter"/>
      <w:start w:val="2"/>
    </w:lvl>
  </w:abstractNum>
  <w:abstractNum w:abstractNumId="129">
    <w:nsid w:val="7F65FD16"/>
    <w:multiLevelType w:val="hybridMultilevel"/>
    <w:lvl w:ilvl="0">
      <w:lvlJc w:val="left"/>
      <w:lvlText w:val="(%1)"/>
      <w:numFmt w:val="lowerLetter"/>
      <w:start w:val="1"/>
    </w:lvl>
  </w:abstractNum>
  <w:abstractNum w:abstractNumId="130">
    <w:nsid w:val="77C9FD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298A92B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2">
    <w:nsid w:val="6FE95EA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33">
    <w:nsid w:val="4B697C7A"/>
    <w:multiLevelType w:val="hybridMultilevel"/>
    <w:lvl w:ilvl="0">
      <w:lvlJc w:val="left"/>
      <w:lvlText w:val="(%1)"/>
      <w:numFmt w:val="lowerLetter"/>
      <w:start w:val="1"/>
    </w:lvl>
  </w:abstractNum>
  <w:abstractNum w:abstractNumId="134">
    <w:nsid w:val="51A27AA6"/>
    <w:multiLevelType w:val="hybridMultilevel"/>
    <w:lvl w:ilvl="0">
      <w:lvlJc w:val="left"/>
      <w:lvlText w:val="(%1)"/>
      <w:numFmt w:val="lowerLetter"/>
      <w:start w:val="1"/>
    </w:lvl>
  </w:abstractNum>
  <w:abstractNum w:abstractNumId="135">
    <w:nsid w:val="613183F2"/>
    <w:multiLevelType w:val="hybridMultilevel"/>
    <w:lvl w:ilvl="0">
      <w:lvlJc w:val="left"/>
      <w:lvlText w:val="%1"/>
      <w:numFmt w:val="lowerLetter"/>
      <w:start w:val="1"/>
    </w:lvl>
    <w:lvl w:ilvl="1">
      <w:lvlJc w:val="left"/>
      <w:lvlText w:val="(%2)"/>
      <w:numFmt w:val="lowerRoman"/>
      <w:start w:val="1"/>
    </w:lvl>
  </w:abstractNum>
  <w:abstractNum w:abstractNumId="136">
    <w:nsid w:val="634102B4"/>
    <w:multiLevelType w:val="hybridMultilevel"/>
    <w:lvl w:ilvl="0">
      <w:lvlJc w:val="left"/>
      <w:lvlText w:val="(%1)"/>
      <w:numFmt w:val="lowerLetter"/>
      <w:start w:val="2"/>
    </w:lvl>
    <w:lvl w:ilvl="1">
      <w:lvlJc w:val="left"/>
      <w:lvlText w:val="%2"/>
      <w:numFmt w:val="lowerRoman"/>
      <w:start w:val="1"/>
    </w:lvl>
  </w:abstractNum>
  <w:abstractNum w:abstractNumId="137">
    <w:nsid w:val="65BF9DA8"/>
    <w:multiLevelType w:val="hybridMultilevel"/>
    <w:lvl w:ilvl="0">
      <w:lvlJc w:val="left"/>
      <w:lvlText w:val="(%1)"/>
      <w:numFmt w:val="lowerLetter"/>
      <w:start w:val="1"/>
    </w:lvl>
    <w:lvl w:ilvl="1">
      <w:lvlJc w:val="left"/>
      <w:lvlText w:val="(%2)"/>
      <w:numFmt w:val="lowerRoman"/>
      <w:start w:val="1"/>
    </w:lvl>
  </w:abstractNum>
  <w:abstractNum w:abstractNumId="138">
    <w:nsid w:val="21A2ECCA"/>
    <w:multiLevelType w:val="hybridMultilevel"/>
    <w:lvl w:ilvl="0">
      <w:lvlJc w:val="left"/>
      <w:lvlText w:val="(%1)"/>
      <w:numFmt w:val="lowerLetter"/>
      <w:start w:val="5"/>
    </w:lvl>
  </w:abstractNum>
  <w:abstractNum w:abstractNumId="139">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3C3B72B2"/>
    <w:multiLevelType w:val="hybridMultilevel"/>
    <w:lvl w:ilvl="0">
      <w:lvlJc w:val="left"/>
      <w:lvlText w:val="(%1)"/>
      <w:numFmt w:val="lowerLetter"/>
      <w:start w:val="1"/>
    </w:lvl>
  </w:abstractNum>
  <w:abstractNum w:abstractNumId="141">
    <w:nsid w:val="155EC4C2"/>
    <w:multiLevelType w:val="hybridMultilevel"/>
    <w:lvl w:ilvl="0">
      <w:lvlJc w:val="left"/>
      <w:lvlText w:val="%1"/>
      <w:numFmt w:val="decimal"/>
      <w:start w:val="13"/>
    </w:lvl>
  </w:abstractNum>
  <w:abstractNum w:abstractNumId="142">
    <w:nsid w:val="65D2A137"/>
    <w:multiLevelType w:val="hybridMultilevel"/>
    <w:lvl w:ilvl="0">
      <w:lvlJc w:val="left"/>
      <w:lvlText w:val="(%1)"/>
      <w:numFmt w:val="lowerLetter"/>
      <w:start w:val="1"/>
    </w:lvl>
    <w:lvl w:ilvl="1">
      <w:lvlJc w:val="left"/>
      <w:lvlText w:val="(%2)"/>
      <w:numFmt w:val="lowerRoman"/>
      <w:start w:val="1"/>
    </w:lvl>
  </w:abstractNum>
  <w:abstractNum w:abstractNumId="143">
    <w:nsid w:val="6EBB1F2A"/>
    <w:multiLevelType w:val="hybridMultilevel"/>
    <w:lvl w:ilvl="0">
      <w:lvlJc w:val="left"/>
      <w:lvlText w:val="(%1)"/>
      <w:numFmt w:val="lowerLetter"/>
      <w:start w:val="1"/>
    </w:lvl>
  </w:abstractNum>
  <w:abstractNum w:abstractNumId="144">
    <w:nsid w:val="6FBF29CB"/>
    <w:multiLevelType w:val="hybridMultilevel"/>
    <w:lvl w:ilvl="0">
      <w:lvlJc w:val="left"/>
      <w:lvlText w:val="(%1)"/>
      <w:numFmt w:val="lowerLetter"/>
      <w:start w:val="1"/>
    </w:lvl>
    <w:lvl w:ilvl="1">
      <w:lvlJc w:val="left"/>
      <w:lvlText w:val="(%2)"/>
      <w:numFmt w:val="lowerRoman"/>
      <w:start w:val="1"/>
    </w:lvl>
  </w:abstractNum>
  <w:abstractNum w:abstractNumId="145">
    <w:nsid w:val="550B8808"/>
    <w:multiLevelType w:val="hybridMultilevel"/>
    <w:lvl w:ilvl="0">
      <w:lvlJc w:val="left"/>
      <w:lvlText w:val="%1"/>
      <w:numFmt w:val="lowerLetter"/>
      <w:start w:val="1"/>
    </w:lvl>
    <w:lvl w:ilvl="1">
      <w:lvlJc w:val="left"/>
      <w:lvlText w:val="(%2)"/>
      <w:numFmt w:val="lowerRoman"/>
      <w:start w:val="4"/>
    </w:lvl>
  </w:abstractNum>
  <w:abstractNum w:abstractNumId="146">
    <w:nsid w:val="34CC3ACF"/>
    <w:multiLevelType w:val="hybridMultilevel"/>
    <w:lvl w:ilvl="0">
      <w:lvlJc w:val="left"/>
      <w:lvlText w:val="(%1)"/>
      <w:numFmt w:val="lowerLetter"/>
      <w:start w:val="2"/>
    </w:lvl>
    <w:lvl w:ilvl="1">
      <w:lvlJc w:val="left"/>
      <w:lvlText w:val="(%2)"/>
      <w:numFmt w:val="lowerRoman"/>
      <w:start w:val="1"/>
    </w:lvl>
  </w:abstractNum>
  <w:abstractNum w:abstractNumId="147">
    <w:nsid w:val="4E556261"/>
    <w:multiLevelType w:val="hybridMultilevel"/>
    <w:lvl w:ilvl="0">
      <w:lvlJc w:val="left"/>
      <w:lvlText w:val="%1"/>
      <w:numFmt w:val="decimal"/>
      <w:start w:val="14"/>
    </w:lvl>
  </w:abstractNum>
  <w:abstractNum w:abstractNumId="148">
    <w:nsid w:val="4C672FC9"/>
    <w:multiLevelType w:val="hybridMultilevel"/>
    <w:lvl w:ilvl="0">
      <w:lvlJc w:val="left"/>
      <w:lvlText w:val="(%1)"/>
      <w:numFmt w:val="lowerLetter"/>
      <w:start w:val="1"/>
    </w:lvl>
    <w:lvl w:ilvl="1">
      <w:lvlJc w:val="left"/>
      <w:lvlText w:val="(%2)"/>
      <w:numFmt w:val="lowerRoman"/>
      <w:start w:val="1"/>
    </w:lvl>
  </w:abstractNum>
  <w:abstractNum w:abstractNumId="149">
    <w:nsid w:val="52A311C3"/>
    <w:multiLevelType w:val="hybridMultilevel"/>
    <w:lvl w:ilvl="0">
      <w:lvlJc w:val="left"/>
      <w:lvlText w:val="(%1)"/>
      <w:numFmt w:val="lowerLetter"/>
      <w:start w:val="2"/>
    </w:lvl>
  </w:abstractNum>
  <w:abstractNum w:abstractNumId="150">
    <w:nsid w:val="44EF6B80"/>
    <w:multiLevelType w:val="hybridMultilevel"/>
    <w:lvl w:ilvl="0">
      <w:lvlJc w:val="left"/>
      <w:lvlText w:val="(%1)"/>
      <w:numFmt w:val="lowerLetter"/>
      <w:start w:val="1"/>
    </w:lvl>
    <w:lvl w:ilvl="1">
      <w:lvlJc w:val="left"/>
      <w:lvlText w:val="(%2)"/>
      <w:numFmt w:val="lowerRoman"/>
      <w:start w:val="1"/>
    </w:lvl>
  </w:abstractNum>
  <w:abstractNum w:abstractNumId="151">
    <w:nsid w:val="12FCDE5E"/>
    <w:multiLevelType w:val="hybridMultilevel"/>
    <w:lvl w:ilvl="0">
      <w:lvlJc w:val="left"/>
      <w:lvlText w:val="(%1)"/>
      <w:numFmt w:val="lowerLetter"/>
      <w:start w:val="3"/>
    </w:lvl>
  </w:abstractNum>
  <w:abstractNum w:abstractNumId="152">
    <w:nsid w:val="4A1D606E"/>
    <w:multiLevelType w:val="hybridMultilevel"/>
    <w:lvl w:ilvl="0">
      <w:lvlJc w:val="left"/>
      <w:lvlText w:val="(%1)"/>
      <w:numFmt w:val="lowerLetter"/>
      <w:start w:val="1"/>
    </w:lvl>
    <w:lvl w:ilvl="1">
      <w:lvlJc w:val="left"/>
      <w:lvlText w:val="(%2)"/>
      <w:numFmt w:val="lowerRoman"/>
      <w:start w:val="1"/>
    </w:lvl>
  </w:abstractNum>
  <w:abstractNum w:abstractNumId="153">
    <w:nsid w:val="4382503"/>
    <w:multiLevelType w:val="hybridMultilevel"/>
    <w:lvl w:ilvl="0">
      <w:lvlJc w:val="left"/>
      <w:lvlText w:val="(%1)"/>
      <w:numFmt w:val="lowerLetter"/>
      <w:start w:val="1"/>
    </w:lvl>
    <w:lvl w:ilvl="1">
      <w:lvlJc w:val="left"/>
      <w:lvlText w:val="(%2)"/>
      <w:numFmt w:val="lowerRoman"/>
      <w:start w:val="1"/>
    </w:lvl>
  </w:abstractNum>
  <w:abstractNum w:abstractNumId="154">
    <w:nsid w:val="59B76E28"/>
    <w:multiLevelType w:val="hybridMultilevel"/>
    <w:lvl w:ilvl="0">
      <w:lvlJc w:val="left"/>
      <w:lvlText w:val="(%1)"/>
      <w:numFmt w:val="lowerRoman"/>
      <w:start w:val="5"/>
    </w:lvl>
  </w:abstractNum>
  <w:abstractNum w:abstractNumId="155">
    <w:nsid w:val="4252C2DA"/>
    <w:multiLevelType w:val="hybridMultilevel"/>
    <w:lvl w:ilvl="0">
      <w:lvlJc w:val="left"/>
      <w:lvlText w:val="(%1)"/>
      <w:numFmt w:val="lowerLetter"/>
      <w:start w:val="2"/>
    </w:lvl>
  </w:abstractNum>
  <w:abstractNum w:abstractNumId="156">
    <w:nsid w:val="6A92EF4C"/>
    <w:multiLevelType w:val="hybridMultilevel"/>
    <w:lvl w:ilvl="0">
      <w:lvlJc w:val="left"/>
      <w:lvlText w:val="%1"/>
      <w:numFmt w:val="decimal"/>
      <w:start w:val="15"/>
    </w:lvl>
  </w:abstractNum>
  <w:abstractNum w:abstractNumId="157">
    <w:nsid w:val="41ED20D7"/>
    <w:multiLevelType w:val="hybridMultilevel"/>
    <w:lvl w:ilvl="0">
      <w:lvlJc w:val="left"/>
      <w:lvlText w:val="(%1)"/>
      <w:numFmt w:val="lowerLetter"/>
      <w:start w:val="1"/>
    </w:lvl>
  </w:abstractNum>
  <w:abstractNum w:abstractNumId="158">
    <w:nsid w:val="E6B3F6A"/>
    <w:multiLevelType w:val="hybridMultilevel"/>
    <w:lvl w:ilvl="0">
      <w:lvlJc w:val="left"/>
      <w:lvlText w:val="(%1)"/>
      <w:numFmt w:val="lowerLetter"/>
      <w:start w:val="1"/>
    </w:lvl>
  </w:abstractNum>
  <w:abstractNum w:abstractNumId="159">
    <w:nsid w:val="3EB21819"/>
    <w:multiLevelType w:val="hybridMultilevel"/>
    <w:lvl w:ilvl="0">
      <w:lvlJc w:val="left"/>
      <w:lvlText w:val="%1"/>
      <w:numFmt w:val="decimal"/>
      <w:start w:val="16"/>
    </w:lvl>
  </w:abstractNum>
  <w:abstractNum w:abstractNumId="160">
    <w:nsid w:val="41531DED"/>
    <w:multiLevelType w:val="hybridMultilevel"/>
    <w:lvl w:ilvl="0">
      <w:lvlJc w:val="left"/>
      <w:lvlText w:val="%1"/>
      <w:numFmt w:val="decimal"/>
      <w:start w:val="17"/>
    </w:lvl>
  </w:abstractNum>
  <w:abstractNum w:abstractNumId="161">
    <w:nsid w:val="6353CD2"/>
    <w:multiLevelType w:val="hybridMultilevel"/>
    <w:lvl w:ilvl="0">
      <w:lvlJc w:val="left"/>
      <w:lvlText w:val="(%1)"/>
      <w:numFmt w:val="lowerLetter"/>
      <w:start w:val="1"/>
    </w:lvl>
  </w:abstractNum>
  <w:abstractNum w:abstractNumId="162">
    <w:nsid w:val="683CAAD3"/>
    <w:multiLevelType w:val="hybridMultilevel"/>
    <w:lvl w:ilvl="0">
      <w:lvlJc w:val="left"/>
      <w:lvlText w:val="(%1)"/>
      <w:numFmt w:val="lowerLetter"/>
      <w:start w:val="1"/>
    </w:lvl>
  </w:abstractNum>
  <w:abstractNum w:abstractNumId="163">
    <w:nsid w:val="313C7C99"/>
    <w:multiLevelType w:val="hybridMultilevel"/>
    <w:lvl w:ilvl="0">
      <w:lvlJc w:val="left"/>
      <w:lvlText w:val="(%1)"/>
      <w:numFmt w:val="lowerLetter"/>
      <w:start w:val="1"/>
    </w:lvl>
  </w:abstractNum>
  <w:abstractNum w:abstractNumId="164">
    <w:nsid w:val="519EB94C"/>
    <w:multiLevelType w:val="hybridMultilevel"/>
    <w:lvl w:ilvl="0">
      <w:lvlJc w:val="left"/>
      <w:lvlText w:val="(%1)"/>
      <w:numFmt w:val="lowerLetter"/>
      <w:start w:val="1"/>
    </w:lvl>
    <w:lvl w:ilvl="1">
      <w:lvlJc w:val="left"/>
      <w:lvlText w:val="(%2)"/>
      <w:numFmt w:val="lowerRoman"/>
      <w:start w:val="1"/>
    </w:lvl>
  </w:abstractNum>
  <w:abstractNum w:abstractNumId="165">
    <w:nsid w:val="39DF2579"/>
    <w:multiLevelType w:val="hybridMultilevel"/>
    <w:lvl w:ilvl="0">
      <w:lvlJc w:val="left"/>
      <w:lvlText w:val="(%1)"/>
      <w:numFmt w:val="lowerLetter"/>
      <w:start w:val="1"/>
    </w:lvl>
  </w:abstractNum>
  <w:abstractNum w:abstractNumId="166">
    <w:nsid w:val="126E008B"/>
    <w:multiLevelType w:val="hybridMultilevel"/>
    <w:lvl w:ilvl="0">
      <w:lvlJc w:val="left"/>
      <w:lvlText w:val="(%1)"/>
      <w:numFmt w:val="lowerLetter"/>
      <w:start w:val="1"/>
    </w:lvl>
  </w:abstractNum>
  <w:abstractNum w:abstractNumId="167">
    <w:nsid w:val="34DFBC00"/>
    <w:multiLevelType w:val="hybridMultilevel"/>
    <w:lvl w:ilvl="0">
      <w:lvlJc w:val="left"/>
      <w:lvlText w:val="(%1)"/>
      <w:numFmt w:val="lowerLetter"/>
      <w:start w:val="1"/>
    </w:lvl>
  </w:abstractNum>
  <w:abstractNum w:abstractNumId="168">
    <w:nsid w:val="1F9EC322"/>
    <w:multiLevelType w:val="hybridMultilevel"/>
    <w:lvl w:ilvl="0">
      <w:lvlJc w:val="left"/>
      <w:lvlText w:val="(%1)"/>
      <w:numFmt w:val="lowerLetter"/>
      <w:start w:val="1"/>
    </w:lvl>
  </w:abstractNum>
  <w:abstractNum w:abstractNumId="169">
    <w:nsid w:val="3410ED56"/>
    <w:multiLevelType w:val="hybridMultilevel"/>
    <w:lvl w:ilvl="0">
      <w:lvlJc w:val="left"/>
      <w:lvlText w:val="(%1)"/>
      <w:numFmt w:val="lowerLetter"/>
      <w:start w:val="1"/>
    </w:lvl>
    <w:lvl w:ilvl="1">
      <w:lvlJc w:val="left"/>
      <w:lvlText w:val="(%2)"/>
      <w:numFmt w:val="lowerRoman"/>
      <w:start w:val="1"/>
    </w:lvl>
  </w:abstractNum>
  <w:abstractNum w:abstractNumId="170">
    <w:nsid w:val="23C049A"/>
    <w:multiLevelType w:val="hybridMultilevel"/>
    <w:lvl w:ilvl="0">
      <w:lvlJc w:val="left"/>
      <w:lvlText w:val="(%1)"/>
      <w:numFmt w:val="lowerLetter"/>
      <w:start w:val="3"/>
    </w:lvl>
    <w:lvl w:ilvl="1">
      <w:lvlJc w:val="left"/>
      <w:lvlText w:val="(%2)"/>
      <w:numFmt w:val="lowerRoman"/>
      <w:start w:val="1"/>
    </w:lvl>
  </w:abstractNum>
  <w:abstractNum w:abstractNumId="171">
    <w:nsid w:val="5BDA35D4"/>
    <w:multiLevelType w:val="hybridMultilevel"/>
    <w:lvl w:ilvl="0">
      <w:lvlJc w:val="left"/>
      <w:lvlText w:val="(%1)"/>
      <w:numFmt w:val="lowerLetter"/>
      <w:start w:val="1"/>
    </w:lvl>
  </w:abstractNum>
  <w:abstractNum w:abstractNumId="172">
    <w:nsid w:val="496FB218"/>
    <w:multiLevelType w:val="hybridMultilevel"/>
    <w:lvl w:ilvl="0">
      <w:lvlJc w:val="left"/>
      <w:lvlText w:val="(%1)"/>
      <w:numFmt w:val="lowerLetter"/>
      <w:start w:val="1"/>
    </w:lvl>
  </w:abstractNum>
  <w:abstractNum w:abstractNumId="173">
    <w:nsid w:val="680EA5D1"/>
    <w:multiLevelType w:val="hybridMultilevel"/>
    <w:lvl w:ilvl="0">
      <w:lvlJc w:val="left"/>
      <w:lvlText w:val="(%1)"/>
      <w:numFmt w:val="lowerLetter"/>
      <w:start w:val="1"/>
    </w:lvl>
  </w:abstractNum>
  <w:abstractNum w:abstractNumId="174">
    <w:nsid w:val="4A9554FE"/>
    <w:multiLevelType w:val="hybridMultilevel"/>
    <w:lvl w:ilvl="0">
      <w:lvlJc w:val="left"/>
      <w:lvlText w:val="(%1)"/>
      <w:numFmt w:val="lowerLetter"/>
      <w:start w:val="1"/>
    </w:lvl>
  </w:abstractNum>
  <w:abstractNum w:abstractNumId="175">
    <w:nsid w:val="392EDBE4"/>
    <w:multiLevelType w:val="hybridMultilevel"/>
    <w:lvl w:ilvl="0">
      <w:lvlJc w:val="left"/>
      <w:lvlText w:val="(%1)"/>
      <w:numFmt w:val="lowerLetter"/>
      <w:start w:val="11"/>
    </w:lvl>
    <w:lvl w:ilvl="1">
      <w:lvlJc w:val="left"/>
      <w:lvlText w:val="(%2)"/>
      <w:numFmt w:val="lowerRoman"/>
      <w:start w:val="1"/>
    </w:lvl>
  </w:abstractNum>
  <w:abstractNum w:abstractNumId="176">
    <w:nsid w:val="3D1A2DD9"/>
    <w:multiLevelType w:val="hybridMultilevel"/>
    <w:lvl w:ilvl="0">
      <w:lvlJc w:val="left"/>
      <w:lvlText w:val="(%1)"/>
      <w:numFmt w:val="lowerLetter"/>
      <w:start w:val="1"/>
    </w:lvl>
  </w:abstractNum>
  <w:abstractNum w:abstractNumId="177">
    <w:nsid w:val="7F618FCD"/>
    <w:multiLevelType w:val="hybridMultilevel"/>
    <w:lvl w:ilvl="0">
      <w:lvlJc w:val="left"/>
      <w:lvlText w:val="(%1)"/>
      <w:numFmt w:val="lowerLetter"/>
      <w:start w:val="1"/>
    </w:lvl>
  </w:abstractNum>
  <w:abstractNum w:abstractNumId="178">
    <w:nsid w:val="7843E45"/>
    <w:multiLevelType w:val="hybridMultilevel"/>
    <w:lvl w:ilvl="0">
      <w:lvlJc w:val="left"/>
      <w:lvlText w:val="(%1)"/>
      <w:numFmt w:val="lowerLetter"/>
      <w:start w:val="1"/>
    </w:lvl>
  </w:abstractNum>
  <w:abstractNum w:abstractNumId="179">
    <w:nsid w:val="9815DA3"/>
    <w:multiLevelType w:val="hybridMultilevel"/>
    <w:lvl w:ilvl="0">
      <w:lvlJc w:val="left"/>
      <w:lvlText w:val="(%1)"/>
      <w:numFmt w:val="lowerLetter"/>
      <w:start w:val="1"/>
    </w:lvl>
  </w:abstractNum>
  <w:abstractNum w:abstractNumId="180">
    <w:nsid w:val="5204A191"/>
    <w:multiLevelType w:val="hybridMultilevel"/>
    <w:lvl w:ilvl="0">
      <w:lvlJc w:val="left"/>
      <w:lvlText w:val="(%1)"/>
      <w:numFmt w:val="lowerLetter"/>
      <w:start w:val="1"/>
    </w:lvl>
  </w:abstractNum>
  <w:abstractNum w:abstractNumId="181">
    <w:nsid w:val="4C73A9C6"/>
    <w:multiLevelType w:val="hybridMultilevel"/>
    <w:lvl w:ilvl="0">
      <w:lvlJc w:val="left"/>
      <w:lvlText w:val="(%1)"/>
      <w:numFmt w:val="lowerLetter"/>
      <w:start w:val="1"/>
    </w:lvl>
  </w:abstractNum>
  <w:abstractNum w:abstractNumId="182">
    <w:nsid w:val="1C7E3C01"/>
    <w:multiLevelType w:val="hybridMultilevel"/>
    <w:lvl w:ilvl="0">
      <w:lvlJc w:val="left"/>
      <w:lvlText w:val="%1"/>
      <w:numFmt w:val="decimal"/>
      <w:start w:val="18"/>
    </w:lvl>
  </w:abstractNum>
  <w:abstractNum w:abstractNumId="183">
    <w:nsid w:val="1C2201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4">
    <w:nsid w:val="50ABCEC9"/>
    <w:multiLevelType w:val="hybridMultilevel"/>
    <w:lvl w:ilvl="0">
      <w:lvlJc w:val="left"/>
      <w:lvlText w:val="%1"/>
      <w:numFmt w:val="lowerLetter"/>
      <w:start w:val="1"/>
    </w:lvl>
    <w:lvl w:ilvl="1">
      <w:lvlJc w:val="left"/>
      <w:lvlText w:val="(%2)"/>
      <w:numFmt w:val="lowerLetter"/>
      <w:start w:val="35"/>
    </w:lvl>
  </w:abstractNum>
  <w:abstractNum w:abstractNumId="185">
    <w:nsid w:val="7635AA2A"/>
    <w:multiLevelType w:val="hybridMultilevel"/>
    <w:lvl w:ilvl="0">
      <w:lvlJc w:val="left"/>
      <w:lvlText w:val="(%1)"/>
      <w:numFmt w:val="lowerLetter"/>
      <w:start w:val="2"/>
    </w:lvl>
    <w:lvl w:ilvl="1">
      <w:lvlJc w:val="left"/>
      <w:lvlText w:val="(%2)"/>
      <w:numFmt w:val="lowerLetter"/>
      <w:start w:val="9"/>
    </w:lvl>
  </w:abstractNum>
  <w:abstractNum w:abstractNumId="186">
    <w:nsid w:val="5E74C4D9"/>
    <w:multiLevelType w:val="hybridMultilevel"/>
    <w:lvl w:ilvl="0">
      <w:lvlJc w:val="left"/>
      <w:lvlText w:val="(%1)"/>
      <w:numFmt w:val="lowerRoman"/>
      <w:start w:val="2"/>
    </w:lvl>
  </w:abstractNum>
  <w:abstractNum w:abstractNumId="187">
    <w:nsid w:val="3B3EBE15"/>
    <w:multiLevelType w:val="hybridMultilevel"/>
    <w:lvl w:ilvl="0">
      <w:lvlJc w:val="left"/>
      <w:lvlText w:val="(%1)"/>
      <w:numFmt w:val="lowerLetter"/>
      <w:start w:val="1"/>
    </w:lvl>
    <w:lvl w:ilvl="1">
      <w:lvlJc w:val="left"/>
      <w:lvlText w:val="(%2)"/>
      <w:numFmt w:val="lowerRoman"/>
      <w:start w:val="1"/>
    </w:lvl>
  </w:abstractNum>
  <w:abstractNum w:abstractNumId="188">
    <w:nsid w:val="3822CB01"/>
    <w:multiLevelType w:val="hybridMultilevel"/>
    <w:lvl w:ilvl="0">
      <w:lvlJc w:val="left"/>
      <w:lvlText w:val="(%1)"/>
      <w:numFmt w:val="lowerLetter"/>
      <w:start w:val="3"/>
    </w:lvl>
    <w:lvl w:ilvl="1">
      <w:lvlJc w:val="left"/>
      <w:lvlText w:val="(%2)"/>
      <w:numFmt w:val="lowerRoman"/>
      <w:start w:val="1"/>
    </w:lvl>
  </w:abstractNum>
  <w:abstractNum w:abstractNumId="189">
    <w:nsid w:val="6CE00443"/>
    <w:multiLevelType w:val="hybridMultilevel"/>
    <w:lvl w:ilvl="0">
      <w:lvlJc w:val="left"/>
      <w:lvlText w:val="(%1)"/>
      <w:numFmt w:val="lowerLetter"/>
      <w:start w:val="1"/>
    </w:lvl>
  </w:abstractNum>
  <w:abstractNum w:abstractNumId="190">
    <w:nsid w:val="79F0D62F"/>
    <w:multiLevelType w:val="hybridMultilevel"/>
    <w:lvl w:ilvl="0">
      <w:lvlJc w:val="left"/>
      <w:lvlText w:val="(%1)"/>
      <w:numFmt w:val="lowerLetter"/>
      <w:start w:val="1"/>
    </w:lvl>
  </w:abstractNum>
  <w:abstractNum w:abstractNumId="191">
    <w:nsid w:val="7975E8EE"/>
    <w:multiLevelType w:val="hybridMultilevel"/>
    <w:lvl w:ilvl="0">
      <w:lvlJc w:val="left"/>
      <w:lvlText w:val="(%1)"/>
      <w:numFmt w:val="lowerLetter"/>
      <w:start w:val="2"/>
    </w:lvl>
  </w:abstractNum>
  <w:abstractNum w:abstractNumId="192">
    <w:nsid w:val="73154115"/>
    <w:multiLevelType w:val="hybridMultilevel"/>
    <w:lvl w:ilvl="0">
      <w:lvlJc w:val="left"/>
      <w:lvlText w:val="(%1)"/>
      <w:numFmt w:val="lowerLetter"/>
      <w:start w:val="1"/>
    </w:lvl>
    <w:lvl w:ilvl="1">
      <w:lvlJc w:val="left"/>
      <w:lvlText w:val="(%2)"/>
      <w:numFmt w:val="lowerRoman"/>
      <w:start w:val="1"/>
    </w:lvl>
  </w:abstractNum>
  <w:abstractNum w:abstractNumId="193">
    <w:nsid w:val="622D8102"/>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94">
    <w:nsid w:val="2AB2658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95">
    <w:nsid w:val="44B3FA61"/>
    <w:multiLevelType w:val="hybridMultilevel"/>
    <w:lvl w:ilvl="0">
      <w:lvlJc w:val="left"/>
      <w:lvlText w:val="(%1)"/>
      <w:numFmt w:val="lowerLetter"/>
      <w:start w:val="1"/>
    </w:lvl>
  </w:abstractNum>
  <w:abstractNum w:abstractNumId="196">
    <w:nsid w:val="1C0CA67C"/>
    <w:multiLevelType w:val="hybridMultilevel"/>
    <w:lvl w:ilvl="0">
      <w:lvlJc w:val="left"/>
      <w:lvlText w:val="(%1)"/>
      <w:numFmt w:val="lowerLetter"/>
      <w:start w:val="1"/>
    </w:lvl>
  </w:abstractNum>
  <w:abstractNum w:abstractNumId="197">
    <w:nsid w:val="3D206613"/>
    <w:multiLevelType w:val="hybridMultilevel"/>
    <w:lvl w:ilvl="0">
      <w:lvlJc w:val="left"/>
      <w:lvlText w:val="(%1)"/>
      <w:numFmt w:val="lowerLetter"/>
      <w:start w:val="1"/>
    </w:lvl>
    <w:lvl w:ilvl="1">
      <w:lvlJc w:val="left"/>
      <w:lvlText w:val="(%2)"/>
      <w:numFmt w:val="lowerRoman"/>
      <w:start w:val="1"/>
    </w:lvl>
  </w:abstractNum>
  <w:abstractNum w:abstractNumId="198">
    <w:nsid w:val="7993B662"/>
    <w:multiLevelType w:val="hybridMultilevel"/>
    <w:lvl w:ilvl="0">
      <w:lvlJc w:val="left"/>
      <w:lvlText w:val="(%1)"/>
      <w:numFmt w:val="lowerLetter"/>
      <w:start w:val="3"/>
    </w:lvl>
    <w:lvl w:ilvl="1">
      <w:lvlJc w:val="left"/>
      <w:lvlText w:val="(%2)"/>
      <w:numFmt w:val="lowerRoman"/>
      <w:start w:val="1"/>
    </w:lvl>
  </w:abstractNum>
  <w:abstractNum w:abstractNumId="199">
    <w:nsid w:val="3BAB699E"/>
    <w:multiLevelType w:val="hybridMultilevel"/>
    <w:lvl w:ilvl="0">
      <w:lvlJc w:val="left"/>
      <w:lvlText w:val="%1"/>
      <w:numFmt w:val="decimal"/>
      <w:start w:val="19"/>
    </w:lvl>
    <w:lvl w:ilvl="1">
      <w:lvlJc w:val="left"/>
      <w:lvlText w:val="(%2)"/>
      <w:numFmt w:val="lowerLetter"/>
      <w:start w:val="1"/>
    </w:lvl>
  </w:abstractNum>
  <w:abstractNum w:abstractNumId="200">
    <w:nsid w:val="71315369"/>
    <w:multiLevelType w:val="hybridMultilevel"/>
    <w:lvl w:ilvl="0">
      <w:lvlJc w:val="left"/>
      <w:lvlText w:val="(%1)"/>
      <w:numFmt w:val="lowerLetter"/>
      <w:start w:val="1"/>
    </w:lvl>
  </w:abstractNum>
  <w:abstractNum w:abstractNumId="201">
    <w:nsid w:val="7BCFBAFC"/>
    <w:multiLevelType w:val="hybridMultilevel"/>
    <w:lvl w:ilvl="0">
      <w:lvlJc w:val="left"/>
      <w:lvlText w:val="(%1)"/>
      <w:numFmt w:val="lowerLetter"/>
      <w:start w:val="2"/>
    </w:lvl>
  </w:abstractNum>
  <w:abstractNum w:abstractNumId="202">
    <w:nsid w:val="17859F72"/>
    <w:multiLevelType w:val="hybridMultilevel"/>
    <w:lvl w:ilvl="0">
      <w:lvlJc w:val="left"/>
      <w:lvlText w:val="(%1)"/>
      <w:numFmt w:val="lowerLetter"/>
      <w:start w:val="1"/>
    </w:lvl>
  </w:abstractNum>
  <w:abstractNum w:abstractNumId="203">
    <w:nsid w:val="3AA10581"/>
    <w:multiLevelType w:val="hybridMultilevel"/>
    <w:lvl w:ilvl="0">
      <w:lvlJc w:val="left"/>
      <w:lvlText w:val="%1"/>
      <w:numFmt w:val="decimal"/>
      <w:start w:val="20"/>
    </w:lvl>
  </w:abstractNum>
  <w:abstractNum w:abstractNumId="204">
    <w:nsid w:val="63DE60CD"/>
    <w:multiLevelType w:val="hybridMultilevel"/>
    <w:lvl w:ilvl="0">
      <w:lvlJc w:val="left"/>
      <w:lvlText w:val="(%1)"/>
      <w:numFmt w:val="lowerLetter"/>
      <w:start w:val="1"/>
    </w:lvl>
  </w:abstractNum>
  <w:abstractNum w:abstractNumId="205">
    <w:nsid w:val="621AF471"/>
    <w:multiLevelType w:val="hybridMultilevel"/>
    <w:lvl w:ilvl="0">
      <w:lvlJc w:val="left"/>
      <w:lvlText w:val="(%1)"/>
      <w:numFmt w:val="lowerLetter"/>
      <w:start w:val="1"/>
    </w:lvl>
  </w:abstractNum>
  <w:abstractNum w:abstractNumId="206">
    <w:nsid w:val="73CFE165"/>
    <w:multiLevelType w:val="hybridMultilevel"/>
    <w:lvl w:ilvl="0">
      <w:lvlJc w:val="left"/>
      <w:lvlText w:val="(%1)"/>
      <w:numFmt w:val="lowerLetter"/>
      <w:start w:val="1"/>
    </w:lvl>
  </w:abstractNum>
  <w:abstractNum w:abstractNumId="207">
    <w:nsid w:val="20F88EA6"/>
    <w:multiLevelType w:val="hybridMultilevel"/>
    <w:lvl w:ilvl="0">
      <w:lvlJc w:val="left"/>
      <w:lvlText w:val="(%1)"/>
      <w:numFmt w:val="lowerLetter"/>
      <w:start w:val="1"/>
    </w:lvl>
  </w:abstractNum>
  <w:abstractNum w:abstractNumId="208">
    <w:nsid w:val="617C843E"/>
    <w:multiLevelType w:val="hybridMultilevel"/>
    <w:lvl w:ilvl="0">
      <w:lvlJc w:val="left"/>
      <w:lvlText w:val="(%1)"/>
      <w:numFmt w:val="lowerLetter"/>
      <w:start w:val="1"/>
    </w:lvl>
  </w:abstractNum>
  <w:abstractNum w:abstractNumId="209">
    <w:nsid w:val="7B541FAB"/>
    <w:multiLevelType w:val="hybridMultilevel"/>
    <w:lvl w:ilvl="0">
      <w:lvlJc w:val="left"/>
      <w:lvlText w:val="(%1)"/>
      <w:numFmt w:val="lowerLetter"/>
      <w:start w:val="1"/>
    </w:lvl>
  </w:abstractNum>
  <w:abstractNum w:abstractNumId="210">
    <w:nsid w:val="2A79EC49"/>
    <w:multiLevelType w:val="hybridMultilevel"/>
    <w:lvl w:ilvl="0">
      <w:lvlJc w:val="left"/>
      <w:lvlText w:val="(%1)"/>
      <w:numFmt w:val="lowerLetter"/>
      <w:start w:val="1"/>
    </w:lvl>
  </w:abstractNum>
  <w:abstractNum w:abstractNumId="211">
    <w:nsid w:val="338125CF"/>
    <w:multiLevelType w:val="hybridMultilevel"/>
    <w:lvl w:ilvl="0">
      <w:lvlJc w:val="left"/>
      <w:lvlText w:val="(%1)"/>
      <w:numFmt w:val="lowerLetter"/>
      <w:start w:val="1"/>
    </w:lvl>
  </w:abstractNum>
  <w:abstractNum w:abstractNumId="212">
    <w:nsid w:val="47C7C971"/>
    <w:multiLevelType w:val="hybridMultilevel"/>
    <w:lvl w:ilvl="0">
      <w:lvlJc w:val="left"/>
      <w:lvlText w:val="(%1)"/>
      <w:numFmt w:val="lowerLetter"/>
      <w:start w:val="1"/>
    </w:lvl>
  </w:abstractNum>
  <w:abstractNum w:abstractNumId="213">
    <w:nsid w:val="46F8284B"/>
    <w:multiLevelType w:val="hybridMultilevel"/>
    <w:lvl w:ilvl="0">
      <w:lvlJc w:val="left"/>
      <w:lvlText w:val="(%1)"/>
      <w:numFmt w:val="lowerLetter"/>
      <w:start w:val="1"/>
    </w:lvl>
  </w:abstractNum>
  <w:abstractNum w:abstractNumId="214">
    <w:nsid w:val="4FA327CE"/>
    <w:multiLevelType w:val="hybridMultilevel"/>
    <w:lvl w:ilvl="0">
      <w:lvlJc w:val="left"/>
      <w:lvlText w:val="(%1)"/>
      <w:numFmt w:val="lowerLetter"/>
      <w:start w:val="1"/>
    </w:lvl>
  </w:abstractNum>
  <w:abstractNum w:abstractNumId="215">
    <w:nsid w:val="1873983A"/>
    <w:multiLevelType w:val="hybridMultilevel"/>
    <w:lvl w:ilvl="0">
      <w:lvlJc w:val="left"/>
      <w:lvlText w:val="(%1)"/>
      <w:numFmt w:val="lowerLetter"/>
      <w:start w:val="1"/>
    </w:lvl>
    <w:lvl w:ilvl="1">
      <w:lvlJc w:val="left"/>
      <w:lvlText w:val="(%2)"/>
      <w:numFmt w:val="lowerRoman"/>
      <w:start w:val="1"/>
    </w:lvl>
  </w:abstractNum>
  <w:abstractNum w:abstractNumId="216">
    <w:nsid w:val="3D2DD275"/>
    <w:multiLevelType w:val="hybridMultilevel"/>
    <w:lvl w:ilvl="0">
      <w:lvlJc w:val="left"/>
      <w:lvlText w:val="(%1)"/>
      <w:numFmt w:val="lowerLetter"/>
      <w:start w:val="1"/>
    </w:lvl>
    <w:lvl w:ilvl="1">
      <w:lvlJc w:val="left"/>
      <w:lvlText w:val="(%2)"/>
      <w:numFmt w:val="lowerLetter"/>
      <w:start w:val="9"/>
    </w:lvl>
  </w:abstractNum>
  <w:abstractNum w:abstractNumId="217">
    <w:nsid w:val="2E17ECA7"/>
    <w:multiLevelType w:val="hybridMultilevel"/>
    <w:lvl w:ilvl="0">
      <w:lvlJc w:val="left"/>
      <w:lvlText w:val="(%1)"/>
      <w:numFmt w:val="upperLetter"/>
      <w:start w:val="1"/>
    </w:lvl>
  </w:abstractNum>
  <w:abstractNum w:abstractNumId="218">
    <w:nsid w:val="53B2564F"/>
    <w:multiLevelType w:val="hybridMultilevel"/>
    <w:lvl w:ilvl="0">
      <w:lvlJc w:val="left"/>
      <w:lvlText w:val="%1"/>
      <w:numFmt w:val="lowerLetter"/>
      <w:start w:val="1"/>
    </w:lvl>
    <w:lvl w:ilvl="1">
      <w:lvlJc w:val="left"/>
      <w:lvlText w:val="(%2)"/>
      <w:numFmt w:val="lowerRoman"/>
      <w:start w:val="2"/>
    </w:lvl>
  </w:abstractNum>
  <w:abstractNum w:abstractNumId="219">
    <w:nsid w:val="75509D76"/>
    <w:multiLevelType w:val="hybridMultilevel"/>
    <w:lvl w:ilvl="0">
      <w:lvlJc w:val="left"/>
      <w:lvlText w:val="(%1)"/>
      <w:numFmt w:val="lowerLetter"/>
      <w:start w:val="3"/>
    </w:lvl>
    <w:lvl w:ilvl="1">
      <w:lvlJc w:val="left"/>
      <w:lvlText w:val="(%2)"/>
      <w:numFmt w:val="lowerRoman"/>
      <w:start w:val="1"/>
    </w:lvl>
  </w:abstractNum>
  <w:abstractNum w:abstractNumId="220">
    <w:nsid w:val="1AF7F0EA"/>
    <w:multiLevelType w:val="hybridMultilevel"/>
    <w:lvl w:ilvl="0">
      <w:lvlJc w:val="left"/>
      <w:lvlText w:val="(%1)"/>
      <w:numFmt w:val="lowerLetter"/>
      <w:start w:val="7"/>
    </w:lvl>
    <w:lvl w:ilvl="1">
      <w:lvlJc w:val="left"/>
      <w:lvlText w:val="(%2)"/>
      <w:numFmt w:val="lowerRoman"/>
      <w:start w:val="1"/>
    </w:lvl>
  </w:abstractNum>
  <w:abstractNum w:abstractNumId="221">
    <w:nsid w:val="4DA32C7E"/>
    <w:multiLevelType w:val="hybridMultilevel"/>
    <w:lvl w:ilvl="0">
      <w:lvlJc w:val="left"/>
      <w:lvlText w:val="(%1)"/>
      <w:numFmt w:val="lowerLetter"/>
      <w:start w:val="1"/>
    </w:lvl>
  </w:abstractNum>
  <w:abstractNum w:abstractNumId="222">
    <w:nsid w:val="6EC68664"/>
    <w:multiLevelType w:val="hybridMultilevel"/>
    <w:lvl w:ilvl="0">
      <w:lvlJc w:val="left"/>
      <w:lvlText w:val="(%1)"/>
      <w:numFmt w:val="lowerLetter"/>
      <w:start w:val="1"/>
    </w:lvl>
    <w:lvl w:ilvl="1">
      <w:lvlJc w:val="left"/>
      <w:lvlText w:val="(%2)"/>
      <w:numFmt w:val="lowerRoman"/>
      <w:start w:val="1"/>
    </w:lvl>
  </w:abstractNum>
  <w:abstractNum w:abstractNumId="223">
    <w:nsid w:val="E0D31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4">
    <w:nsid w:val="2FD0AD81"/>
    <w:multiLevelType w:val="hybridMultilevel"/>
    <w:lvl w:ilvl="0">
      <w:lvlJc w:val="left"/>
      <w:lvlText w:val="(%1)"/>
      <w:numFmt w:val="lowerLetter"/>
      <w:start w:val="1"/>
    </w:lvl>
  </w:abstractNum>
  <w:abstractNum w:abstractNumId="225">
    <w:nsid w:val="1978EBE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6">
    <w:nsid w:val="52C12C61"/>
    <w:multiLevelType w:val="hybridMultilevel"/>
    <w:lvl w:ilvl="0">
      <w:lvlJc w:val="left"/>
      <w:lvlText w:val="(%1)"/>
      <w:numFmt w:val="lowerLetter"/>
      <w:start w:val="5"/>
    </w:lvl>
  </w:abstractNum>
  <w:abstractNum w:abstractNumId="227">
    <w:nsid w:val="4BDD53FD"/>
    <w:multiLevelType w:val="hybridMultilevel"/>
    <w:lvl w:ilvl="0">
      <w:lvlJc w:val="left"/>
      <w:lvlText w:val="(%1)"/>
      <w:numFmt w:val="lowerLetter"/>
      <w:start w:val="1"/>
    </w:lvl>
  </w:abstractNum>
  <w:abstractNum w:abstractNumId="228">
    <w:nsid w:val="569951FE"/>
    <w:multiLevelType w:val="hybridMultilevel"/>
    <w:lvl w:ilvl="0">
      <w:lvlJc w:val="left"/>
      <w:lvlText w:val="(%1)"/>
      <w:numFmt w:val="lowerLetter"/>
      <w:start w:val="1"/>
    </w:lvl>
  </w:abstractNum>
  <w:abstractNum w:abstractNumId="229">
    <w:nsid w:val="4C54E2C3"/>
    <w:multiLevelType w:val="hybridMultilevel"/>
    <w:lvl w:ilvl="0">
      <w:lvlJc w:val="left"/>
      <w:lvlText w:val="%1"/>
      <w:numFmt w:val="decimal"/>
      <w:start w:val="21"/>
    </w:lvl>
  </w:abstractNum>
  <w:abstractNum w:abstractNumId="230">
    <w:nsid w:val="788BD9B"/>
    <w:multiLevelType w:val="hybridMultilevel"/>
    <w:lvl w:ilvl="0">
      <w:lvlJc w:val="left"/>
      <w:lvlText w:val="(%1)"/>
      <w:numFmt w:val="lowerLetter"/>
      <w:start w:val="1"/>
    </w:lvl>
  </w:abstractNum>
  <w:abstractNum w:abstractNumId="231">
    <w:nsid w:val="47CAA5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2">
    <w:nsid w:val="48249DBF"/>
    <w:multiLevelType w:val="hybridMultilevel"/>
    <w:lvl w:ilvl="0">
      <w:lvlJc w:val="left"/>
      <w:lvlText w:val="(%1)"/>
      <w:numFmt w:val="upperLetter"/>
      <w:start w:val="2"/>
    </w:lvl>
    <w:lvl w:ilvl="1">
      <w:lvlJc w:val="left"/>
      <w:lvlText w:val="(%2)"/>
      <w:numFmt w:val="upperLetter"/>
      <w:start w:val="9"/>
    </w:lvl>
  </w:abstractNum>
  <w:abstractNum w:abstractNumId="233">
    <w:nsid w:val="1F0E5D0D"/>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5"/>
    </w:lvl>
  </w:abstractNum>
  <w:abstractNum w:abstractNumId="234">
    <w:nsid w:val="26BAAE9"/>
    <w:multiLevelType w:val="hybridMultilevel"/>
    <w:lvl w:ilvl="0">
      <w:lvlJc w:val="left"/>
      <w:lvlText w:val="%1"/>
      <w:numFmt w:val="lowerLetter"/>
      <w:start w:val="1"/>
    </w:lvl>
    <w:lvl w:ilvl="1">
      <w:lvlJc w:val="left"/>
      <w:lvlText w:val="(%2)"/>
      <w:numFmt w:val="upperLetter"/>
      <w:start w:val="3"/>
    </w:lvl>
    <w:lvl w:ilvl="2">
      <w:lvlJc w:val="left"/>
      <w:lvlText w:val="%3"/>
      <w:numFmt w:val="upperLetter"/>
      <w:start w:val="1"/>
    </w:lvl>
  </w:abstractNum>
  <w:abstractNum w:abstractNumId="235">
    <w:nsid w:val="2C02FE8C"/>
    <w:multiLevelType w:val="hybridMultilevel"/>
    <w:lvl w:ilvl="0">
      <w:lvlJc w:val="left"/>
      <w:lvlText w:val="(%1)"/>
      <w:numFmt w:val="lowerLetter"/>
      <w:start w:val="4"/>
    </w:lvl>
    <w:lvl w:ilvl="1">
      <w:lvlJc w:val="left"/>
      <w:lvlText w:val="%2"/>
      <w:numFmt w:val="upperLetter"/>
      <w:start w:val="1"/>
    </w:lvl>
    <w:lvl w:ilvl="2">
      <w:lvlJc w:val="left"/>
      <w:lvlText w:val="%3"/>
      <w:numFmt w:val="upperLetter"/>
      <w:start w:val="1"/>
    </w:lvl>
  </w:abstractNum>
  <w:abstractNum w:abstractNumId="236">
    <w:nsid w:val="129517E"/>
    <w:multiLevelType w:val="hybridMultilevel"/>
    <w:lvl w:ilvl="0">
      <w:lvlJc w:val="left"/>
      <w:lvlText w:val="(%1)"/>
      <w:numFmt w:val="lowerLetter"/>
      <w:start w:val="1"/>
    </w:lvl>
  </w:abstractNum>
  <w:abstractNum w:abstractNumId="237">
    <w:nsid w:val="763B8C4E"/>
    <w:multiLevelType w:val="hybridMultilevel"/>
    <w:lvl w:ilvl="0">
      <w:lvlJc w:val="left"/>
      <w:lvlText w:val="(%1)"/>
      <w:numFmt w:val="lowerLetter"/>
      <w:start w:val="1"/>
    </w:lvl>
  </w:abstractNum>
  <w:abstractNum w:abstractNumId="238">
    <w:nsid w:val="4CFB8D32"/>
    <w:multiLevelType w:val="hybridMultilevel"/>
    <w:lvl w:ilvl="0">
      <w:lvlJc w:val="left"/>
      <w:lvlText w:val="(%1)"/>
      <w:numFmt w:val="lowerLetter"/>
      <w:start w:val="1"/>
    </w:lvl>
  </w:abstractNum>
  <w:abstractNum w:abstractNumId="239">
    <w:nsid w:val="62A5D5BD"/>
    <w:multiLevelType w:val="hybridMultilevel"/>
    <w:lvl w:ilvl="0">
      <w:lvlJc w:val="left"/>
      <w:lvlText w:val="(%1)"/>
      <w:numFmt w:val="lowerLetter"/>
      <w:start w:val="1"/>
    </w:lvl>
    <w:lvl w:ilvl="1">
      <w:lvlJc w:val="left"/>
      <w:lvlText w:val="(%2)"/>
      <w:numFmt w:val="lowerLetter"/>
      <w:start w:val="3"/>
    </w:lvl>
  </w:abstractNum>
  <w:abstractNum w:abstractNumId="240">
    <w:nsid w:val="718FABF9"/>
    <w:multiLevelType w:val="hybridMultilevel"/>
    <w:lvl w:ilvl="0">
      <w:lvlJc w:val="left"/>
      <w:lvlText w:val="(%1)"/>
      <w:numFmt w:val="lowerLetter"/>
      <w:start w:val="1"/>
    </w:lvl>
    <w:lvl w:ilvl="1">
      <w:lvlJc w:val="left"/>
      <w:lvlText w:val="(%2)"/>
      <w:numFmt w:val="lowerRoman"/>
      <w:start w:val="1"/>
    </w:lvl>
  </w:abstractNum>
  <w:abstractNum w:abstractNumId="241">
    <w:nsid w:val="7775797C"/>
    <w:multiLevelType w:val="hybridMultilevel"/>
    <w:lvl w:ilvl="0">
      <w:lvlJc w:val="left"/>
      <w:lvlText w:val="(%1)"/>
      <w:numFmt w:val="lowerLetter"/>
      <w:start w:val="1"/>
    </w:lvl>
    <w:lvl w:ilvl="1">
      <w:lvlJc w:val="left"/>
      <w:lvlText w:val="(%2)"/>
      <w:numFmt w:val="lowerRoman"/>
      <w:start w:val="1"/>
    </w:lvl>
  </w:abstractNum>
  <w:abstractNum w:abstractNumId="242">
    <w:nsid w:val="1626FB8C"/>
    <w:multiLevelType w:val="hybridMultilevel"/>
    <w:lvl w:ilvl="0">
      <w:lvlJc w:val="left"/>
      <w:lvlText w:val="(%1)"/>
      <w:numFmt w:val="lowerRoman"/>
      <w:start w:val="2"/>
    </w:lvl>
  </w:abstractNum>
  <w:abstractNum w:abstractNumId="243">
    <w:nsid w:val="3957756A"/>
    <w:multiLevelType w:val="hybridMultilevel"/>
    <w:lvl w:ilvl="0">
      <w:lvlJc w:val="left"/>
      <w:lvlText w:val="(%1)"/>
      <w:numFmt w:val="lowerLetter"/>
      <w:start w:val="1"/>
    </w:lvl>
  </w:abstractNum>
  <w:abstractNum w:abstractNumId="244">
    <w:nsid w:val="3E6DA1C7"/>
    <w:multiLevelType w:val="hybridMultilevel"/>
    <w:lvl w:ilvl="0">
      <w:lvlJc w:val="left"/>
      <w:lvlText w:val="(%1)"/>
      <w:numFmt w:val="lowerLetter"/>
      <w:start w:val="1"/>
    </w:lvl>
  </w:abstractNum>
  <w:abstractNum w:abstractNumId="245">
    <w:nsid w:val="65CA235B"/>
    <w:multiLevelType w:val="hybridMultilevel"/>
    <w:lvl w:ilvl="0">
      <w:lvlJc w:val="left"/>
      <w:lvlText w:val="(%1)"/>
      <w:numFmt w:val="lowerLetter"/>
      <w:start w:val="1"/>
    </w:lvl>
    <w:lvl w:ilvl="1">
      <w:lvlJc w:val="left"/>
      <w:lvlText w:val="(%2)"/>
      <w:numFmt w:val="lowerRoman"/>
      <w:start w:val="1"/>
    </w:lvl>
  </w:abstractNum>
  <w:abstractNum w:abstractNumId="246">
    <w:nsid w:val="51CB0DA4"/>
    <w:multiLevelType w:val="hybridMultilevel"/>
    <w:lvl w:ilvl="0">
      <w:lvlJc w:val="left"/>
      <w:lvlText w:val="%1"/>
      <w:numFmt w:val="decimal"/>
      <w:start w:val="22"/>
    </w:lvl>
  </w:abstractNum>
  <w:abstractNum w:abstractNumId="247">
    <w:nsid w:val="7B9B743C"/>
    <w:multiLevelType w:val="hybridMultilevel"/>
    <w:lvl w:ilvl="0">
      <w:lvlJc w:val="left"/>
      <w:lvlText w:val="(%1)"/>
      <w:numFmt w:val="lowerLetter"/>
      <w:start w:val="1"/>
    </w:lvl>
  </w:abstractNum>
  <w:abstractNum w:abstractNumId="248">
    <w:nsid w:val="13E21002"/>
    <w:multiLevelType w:val="hybridMultilevel"/>
    <w:lvl w:ilvl="0">
      <w:lvlJc w:val="left"/>
      <w:lvlText w:val="(%1)"/>
      <w:numFmt w:val="lowerLetter"/>
      <w:start w:val="1"/>
    </w:lvl>
    <w:lvl w:ilvl="1">
      <w:lvlJc w:val="left"/>
      <w:lvlText w:val="(%2)"/>
      <w:numFmt w:val="lowerRoman"/>
      <w:start w:val="1"/>
    </w:lvl>
  </w:abstractNum>
  <w:abstractNum w:abstractNumId="249">
    <w:nsid w:val="257D63F4"/>
    <w:multiLevelType w:val="hybridMultilevel"/>
    <w:lvl w:ilvl="0">
      <w:lvlJc w:val="left"/>
      <w:lvlText w:val="(%1)"/>
      <w:numFmt w:val="lowerLetter"/>
      <w:start w:val="3"/>
    </w:lvl>
    <w:lvl w:ilvl="1">
      <w:lvlJc w:val="left"/>
      <w:lvlText w:val="(%2)"/>
      <w:numFmt w:val="lowerRoman"/>
      <w:start w:val="1"/>
    </w:lvl>
  </w:abstractNum>
  <w:abstractNum w:abstractNumId="250">
    <w:nsid w:val="70EC11B2"/>
    <w:multiLevelType w:val="hybridMultilevel"/>
    <w:lvl w:ilvl="0">
      <w:lvlJc w:val="left"/>
      <w:lvlText w:val="(%1)"/>
      <w:numFmt w:val="lowerLetter"/>
      <w:start w:val="8"/>
    </w:lvl>
  </w:abstractNum>
  <w:abstractNum w:abstractNumId="251">
    <w:nsid w:val="2EDA00ED"/>
    <w:multiLevelType w:val="hybridMultilevel"/>
    <w:lvl w:ilvl="0">
      <w:lvlJc w:val="left"/>
      <w:lvlText w:val="(%1)"/>
      <w:numFmt w:val="lowerLetter"/>
      <w:start w:val="1"/>
    </w:lvl>
    <w:lvl w:ilvl="1">
      <w:lvlJc w:val="left"/>
      <w:lvlText w:val="(%2)"/>
      <w:numFmt w:val="lowerRoman"/>
      <w:start w:val="1"/>
    </w:lvl>
  </w:abstractNum>
  <w:abstractNum w:abstractNumId="252">
    <w:nsid w:val="73209072"/>
    <w:multiLevelType w:val="hybridMultilevel"/>
    <w:lvl w:ilvl="0">
      <w:lvlJc w:val="left"/>
      <w:lvlText w:val="(%1)"/>
      <w:numFmt w:val="lowerLetter"/>
      <w:start w:val="2"/>
    </w:lvl>
    <w:lvl w:ilvl="1">
      <w:lvlJc w:val="left"/>
      <w:lvlText w:val="(%2)"/>
      <w:numFmt w:val="lowerRoman"/>
      <w:start w:val="1"/>
    </w:lvl>
  </w:abstractNum>
  <w:abstractNum w:abstractNumId="253">
    <w:nsid w:val="5FB29816"/>
    <w:multiLevelType w:val="hybridMultilevel"/>
    <w:lvl w:ilvl="0">
      <w:lvlJc w:val="left"/>
      <w:lvlText w:val="(%1)"/>
      <w:numFmt w:val="lowerLetter"/>
      <w:start w:val="3"/>
    </w:lvl>
    <w:lvl w:ilvl="1">
      <w:lvlJc w:val="left"/>
      <w:lvlText w:val="(%2)"/>
      <w:numFmt w:val="lowerRoman"/>
      <w:start w:val="1"/>
    </w:lvl>
  </w:abstractNum>
  <w:abstractNum w:abstractNumId="254">
    <w:nsid w:val="3CE732EC"/>
    <w:multiLevelType w:val="hybridMultilevel"/>
    <w:lvl w:ilvl="0">
      <w:lvlJc w:val="left"/>
      <w:lvlText w:val="(%1)"/>
      <w:numFmt w:val="lowerLetter"/>
      <w:start w:val="1"/>
    </w:lvl>
    <w:lvl w:ilvl="1">
      <w:lvlJc w:val="left"/>
      <w:lvlText w:val="(%2)"/>
      <w:numFmt w:val="lowerRoman"/>
      <w:start w:val="1"/>
    </w:lvl>
  </w:abstractNum>
  <w:abstractNum w:abstractNumId="255">
    <w:nsid w:val="22F13DF3"/>
    <w:multiLevelType w:val="hybridMultilevel"/>
    <w:lvl w:ilvl="0">
      <w:lvlJc w:val="left"/>
      <w:lvlText w:val="%1"/>
      <w:numFmt w:val="lowerLetter"/>
      <w:start w:val="1"/>
    </w:lvl>
    <w:lvl w:ilvl="1">
      <w:lvlJc w:val="left"/>
      <w:lvlText w:val="(%2)"/>
      <w:numFmt w:val="lowerRoman"/>
      <w:start w:val="4"/>
    </w:lvl>
  </w:abstractNum>
  <w:abstractNum w:abstractNumId="256">
    <w:nsid w:val="792B8401"/>
    <w:multiLevelType w:val="hybridMultilevel"/>
    <w:lvl w:ilvl="0">
      <w:lvlJc w:val="left"/>
      <w:lvlText w:val="(%1)"/>
      <w:numFmt w:val="lowerLetter"/>
      <w:start w:val="1"/>
    </w:lvl>
    <w:lvl w:ilvl="1">
      <w:lvlJc w:val="left"/>
      <w:lvlText w:val="(%2)"/>
      <w:numFmt w:val="lowerRoman"/>
      <w:start w:val="1"/>
    </w:lvl>
  </w:abstractNum>
  <w:abstractNum w:abstractNumId="257">
    <w:nsid w:val="FA85F4D"/>
    <w:multiLevelType w:val="hybridMultilevel"/>
    <w:lvl w:ilvl="0">
      <w:lvlJc w:val="left"/>
      <w:lvlText w:val="(%1)"/>
      <w:numFmt w:val="lowerLetter"/>
      <w:start w:val="1"/>
    </w:lvl>
  </w:abstractNum>
  <w:abstractNum w:abstractNumId="258">
    <w:nsid w:val="6ECE91F0"/>
    <w:multiLevelType w:val="hybridMultilevel"/>
    <w:lvl w:ilvl="0">
      <w:lvlJc w:val="left"/>
      <w:lvlText w:val="(%1)"/>
      <w:numFmt w:val="lowerLetter"/>
      <w:start w:val="3"/>
    </w:lvl>
  </w:abstractNum>
  <w:abstractNum w:abstractNumId="259">
    <w:nsid w:val="4FC4D600"/>
    <w:multiLevelType w:val="hybridMultilevel"/>
    <w:lvl w:ilvl="0">
      <w:lvlJc w:val="left"/>
      <w:lvlText w:val="(%1)"/>
      <w:numFmt w:val="lowerLetter"/>
      <w:start w:val="1"/>
    </w:lvl>
    <w:lvl w:ilvl="1">
      <w:lvlJc w:val="left"/>
      <w:lvlText w:val="(%2)"/>
      <w:numFmt w:val="lowerRoman"/>
      <w:start w:val="1"/>
    </w:lvl>
  </w:abstractNum>
  <w:abstractNum w:abstractNumId="260">
    <w:nsid w:val="5BFD4210"/>
    <w:multiLevelType w:val="hybridMultilevel"/>
    <w:lvl w:ilvl="0">
      <w:lvlJc w:val="left"/>
      <w:lvlText w:val="(%1)"/>
      <w:numFmt w:val="lowerLetter"/>
      <w:start w:val="2"/>
    </w:lvl>
  </w:abstractNum>
  <w:abstractNum w:abstractNumId="261">
    <w:nsid w:val="76574F8B"/>
    <w:multiLevelType w:val="hybridMultilevel"/>
    <w:lvl w:ilvl="0">
      <w:lvlJc w:val="left"/>
      <w:lvlText w:val="(%1)"/>
      <w:numFmt w:val="lowerLetter"/>
      <w:start w:val="1"/>
    </w:lvl>
  </w:abstractNum>
  <w:abstractNum w:abstractNumId="262">
    <w:nsid w:val="178F7B67"/>
    <w:multiLevelType w:val="hybridMultilevel"/>
    <w:lvl w:ilvl="0">
      <w:lvlJc w:val="left"/>
      <w:lvlText w:val="(%1)"/>
      <w:numFmt w:val="lowerLetter"/>
      <w:start w:val="2"/>
    </w:lvl>
  </w:abstractNum>
  <w:abstractNum w:abstractNumId="263">
    <w:nsid w:val="2421DFCF"/>
    <w:multiLevelType w:val="hybridMultilevel"/>
    <w:lvl w:ilvl="0">
      <w:lvlJc w:val="left"/>
      <w:lvlText w:val="(%1)"/>
      <w:numFmt w:val="lowerRoman"/>
      <w:start w:val="1"/>
    </w:lvl>
  </w:abstractNum>
  <w:abstractNum w:abstractNumId="264">
    <w:nsid w:val="1565A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19FB2650"/>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6">
    <w:nsid w:val="5024DE5B"/>
    <w:multiLevelType w:val="hybridMultilevel"/>
    <w:lvl w:ilvl="0">
      <w:lvlJc w:val="left"/>
      <w:lvlText w:val="%1"/>
      <w:numFmt w:val="lowerLetter"/>
      <w:start w:val="1"/>
    </w:lvl>
    <w:lvl w:ilvl="1">
      <w:lvlJc w:val="left"/>
      <w:lvlText w:val="(%2)"/>
      <w:numFmt w:val="lowerRoman"/>
      <w:start w:val="3"/>
    </w:lvl>
  </w:abstractNum>
  <w:abstractNum w:abstractNumId="267">
    <w:nsid w:val="168EFE17"/>
    <w:multiLevelType w:val="hybridMultilevel"/>
    <w:lvl w:ilvl="0">
      <w:lvlJc w:val="left"/>
      <w:lvlText w:val="(%1)"/>
      <w:numFmt w:val="lowerLetter"/>
      <w:start w:val="5"/>
    </w:lvl>
    <w:lvl w:ilvl="1">
      <w:lvlJc w:val="left"/>
      <w:lvlText w:val="%2"/>
      <w:numFmt w:val="lowerRoman"/>
      <w:start w:val="1"/>
    </w:lvl>
  </w:abstractNum>
  <w:abstractNum w:abstractNumId="268">
    <w:nsid w:val="1036B29F"/>
    <w:multiLevelType w:val="hybridMultilevel"/>
    <w:lvl w:ilvl="0">
      <w:lvlJc w:val="left"/>
      <w:lvlText w:val="%1"/>
      <w:numFmt w:val="lowerLetter"/>
      <w:start w:val="1"/>
    </w:lvl>
    <w:lvl w:ilvl="1">
      <w:lvlJc w:val="left"/>
      <w:lvlText w:val="(%2)"/>
      <w:numFmt w:val="upperLetter"/>
      <w:start w:val="1"/>
    </w:lvl>
  </w:abstractNum>
  <w:abstractNum w:abstractNumId="269">
    <w:nsid w:val="1D206B8E"/>
    <w:multiLevelType w:val="hybridMultilevel"/>
    <w:lvl w:ilvl="0">
      <w:lvlJc w:val="left"/>
      <w:lvlText w:val="(%1)"/>
      <w:numFmt w:val="lowerLetter"/>
      <w:start w:val="6"/>
    </w:lvl>
    <w:lvl w:ilvl="1">
      <w:lvlJc w:val="left"/>
      <w:lvlText w:val="%2"/>
      <w:numFmt w:val="upperLetter"/>
      <w:start w:val="1"/>
    </w:lvl>
  </w:abstractNum>
  <w:abstractNum w:abstractNumId="270">
    <w:nsid w:val="7934D3D4"/>
    <w:multiLevelType w:val="hybridMultilevel"/>
    <w:lvl w:ilvl="0">
      <w:lvlJc w:val="left"/>
      <w:lvlText w:val="(%1)"/>
      <w:numFmt w:val="lowerRoman"/>
      <w:start w:val="1"/>
    </w:lvl>
  </w:abstractNum>
  <w:abstractNum w:abstractNumId="271">
    <w:nsid w:val="1C65E98"/>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lvl w:ilvl="3">
      <w:lvlJc w:val="left"/>
      <w:lvlText w:val="%4"/>
      <w:numFmt w:val="upperLetter"/>
      <w:start w:val="1"/>
    </w:lvl>
  </w:abstractNum>
  <w:abstractNum w:abstractNumId="272">
    <w:nsid w:val="1495E50A"/>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73">
    <w:nsid w:val="F5BCF61"/>
    <w:multiLevelType w:val="hybridMultilevel"/>
    <w:lvl w:ilvl="0">
      <w:lvlJc w:val="left"/>
      <w:lvlText w:val="(%1)"/>
      <w:numFmt w:val="upperLetter"/>
      <w:start w:val="35"/>
    </w:lvl>
  </w:abstractNum>
  <w:abstractNum w:abstractNumId="274">
    <w:nsid w:val="3B1DD403"/>
    <w:multiLevelType w:val="hybridMultilevel"/>
    <w:lvl w:ilvl="0">
      <w:lvlJc w:val="left"/>
      <w:lvlText w:val="(%1)"/>
      <w:numFmt w:val="lowerRoman"/>
      <w:start w:val="1"/>
    </w:lvl>
    <w:lvl w:ilvl="1">
      <w:lvlJc w:val="left"/>
      <w:lvlText w:val="(%2)"/>
      <w:numFmt w:val="lowerRoman"/>
      <w:start w:val="1"/>
    </w:lvl>
  </w:abstractNum>
  <w:abstractNum w:abstractNumId="275">
    <w:nsid w:val="530386D1"/>
    <w:multiLevelType w:val="hybridMultilevel"/>
    <w:lvl w:ilvl="0">
      <w:lvlJc w:val="left"/>
      <w:lvlText w:val="(%1)"/>
      <w:numFmt w:val="lowerLetter"/>
      <w:start w:val="10"/>
    </w:lvl>
  </w:abstractNum>
  <w:abstractNum w:abstractNumId="276">
    <w:nsid w:val="7525F2BC"/>
    <w:multiLevelType w:val="hybridMultilevel"/>
    <w:lvl w:ilvl="0">
      <w:lvlJc w:val="left"/>
      <w:lvlText w:val="%1"/>
      <w:numFmt w:val="decimal"/>
      <w:start w:val="24"/>
    </w:lvl>
  </w:abstractNum>
  <w:abstractNum w:abstractNumId="277">
    <w:nsid w:val="CE8E1A7"/>
    <w:multiLevelType w:val="hybridMultilevel"/>
    <w:lvl w:ilvl="0">
      <w:lvlJc w:val="left"/>
      <w:lvlText w:val="%1"/>
      <w:numFmt w:val="decimal"/>
      <w:start w:val="25"/>
    </w:lvl>
  </w:abstractNum>
  <w:abstractNum w:abstractNumId="278">
    <w:nsid w:val="4E9EFB0D"/>
    <w:multiLevelType w:val="hybridMultilevel"/>
    <w:lvl w:ilvl="0">
      <w:lvlJc w:val="left"/>
      <w:lvlText w:val="(%1)"/>
      <w:numFmt w:val="lowerLetter"/>
      <w:start w:val="1"/>
    </w:lvl>
  </w:abstractNum>
  <w:abstractNum w:abstractNumId="279">
    <w:nsid w:val="90802BE"/>
    <w:multiLevelType w:val="hybridMultilevel"/>
    <w:lvl w:ilvl="0">
      <w:lvlJc w:val="left"/>
      <w:lvlText w:val="(%1)"/>
      <w:numFmt w:val="lowerLetter"/>
      <w:start w:val="1"/>
    </w:lvl>
  </w:abstractNum>
  <w:abstractNum w:abstractNumId="280">
    <w:nsid w:val="3266459B"/>
    <w:multiLevelType w:val="hybridMultilevel"/>
    <w:lvl w:ilvl="0">
      <w:lvlJc w:val="left"/>
      <w:lvlText w:val="(%1)"/>
      <w:numFmt w:val="lowerLetter"/>
      <w:start w:val="4"/>
    </w:lvl>
  </w:abstractNum>
  <w:abstractNum w:abstractNumId="281">
    <w:nsid w:val="3F8B0CBF"/>
    <w:multiLevelType w:val="hybridMultilevel"/>
    <w:lvl w:ilvl="0">
      <w:lvlJc w:val="left"/>
      <w:lvlText w:val="(%1)"/>
      <w:numFmt w:val="lowerLetter"/>
      <w:start w:val="1"/>
    </w:lvl>
    <w:lvl w:ilvl="1">
      <w:lvlJc w:val="left"/>
      <w:lvlText w:val="(%2)"/>
      <w:numFmt w:val="lowerRoman"/>
      <w:start w:val="1"/>
    </w:lvl>
  </w:abstractNum>
  <w:abstractNum w:abstractNumId="282">
    <w:nsid w:val="37E203AB"/>
    <w:multiLevelType w:val="hybridMultilevel"/>
    <w:lvl w:ilvl="0">
      <w:lvlJc w:val="left"/>
      <w:lvlText w:val="(%1)"/>
      <w:numFmt w:val="lowerLetter"/>
      <w:start w:val="1"/>
    </w:lvl>
    <w:lvl w:ilvl="1">
      <w:lvlJc w:val="left"/>
      <w:lvlText w:val="(%2)"/>
      <w:numFmt w:val="lowerLetter"/>
      <w:start w:val="9"/>
    </w:lvl>
  </w:abstractNum>
  <w:abstractNum w:abstractNumId="283">
    <w:nsid w:val="2586D60E"/>
    <w:multiLevelType w:val="hybridMultilevel"/>
    <w:lvl w:ilvl="0">
      <w:lvlJc w:val="left"/>
      <w:lvlText w:val="(%1)"/>
      <w:numFmt w:val="lowerRoman"/>
      <w:start w:val="2"/>
    </w:lvl>
    <w:lvl w:ilvl="1">
      <w:lvlJc w:val="left"/>
      <w:lvlText w:val="(%2)"/>
      <w:numFmt w:val="upperLetter"/>
      <w:start w:val="1"/>
    </w:lvl>
  </w:abstractNum>
  <w:abstractNum w:abstractNumId="284">
    <w:nsid w:val="1F3DA4D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5">
    <w:nsid w:val="74C93698"/>
    <w:multiLevelType w:val="hybridMultilevel"/>
    <w:lvl w:ilvl="0">
      <w:lvlJc w:val="left"/>
      <w:lvlText w:val="(%1)"/>
      <w:numFmt w:val="lowerLetter"/>
      <w:start w:val="4"/>
    </w:lvl>
    <w:lvl w:ilvl="1">
      <w:lvlJc w:val="left"/>
      <w:lvlText w:val="(%2)"/>
      <w:numFmt w:val="lowerRoman"/>
      <w:start w:val="1"/>
    </w:lvl>
  </w:abstractNum>
  <w:abstractNum w:abstractNumId="286">
    <w:nsid w:val="48781401"/>
    <w:multiLevelType w:val="hybridMultilevel"/>
    <w:lvl w:ilvl="0">
      <w:lvlJc w:val="left"/>
      <w:lvlText w:val="(%1)"/>
      <w:numFmt w:val="lowerLetter"/>
      <w:start w:val="5"/>
    </w:lvl>
  </w:abstractNum>
  <w:abstractNum w:abstractNumId="287">
    <w:nsid w:val="186928D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8">
    <w:nsid w:val="47195E5"/>
    <w:multiLevelType w:val="hybridMultilevel"/>
    <w:lvl w:ilvl="0">
      <w:lvlJc w:val="left"/>
      <w:lvlText w:val="%1"/>
      <w:numFmt w:val="lowerLetter"/>
      <w:start w:val="1"/>
    </w:lvl>
    <w:lvl w:ilvl="1">
      <w:lvlJc w:val="left"/>
      <w:lvlText w:val="(%2)"/>
      <w:numFmt w:val="lowerLetter"/>
      <w:start w:val="35"/>
    </w:lvl>
  </w:abstractNum>
  <w:abstractNum w:abstractNumId="289">
    <w:nsid w:val="3746A5F2"/>
    <w:multiLevelType w:val="hybridMultilevel"/>
    <w:lvl w:ilvl="0">
      <w:lvlJc w:val="left"/>
      <w:lvlText w:val="(%1)"/>
      <w:numFmt w:val="lowerLetter"/>
      <w:start w:val="2"/>
    </w:lvl>
    <w:lvl w:ilvl="1">
      <w:lvlJc w:val="left"/>
      <w:lvlText w:val="%2"/>
      <w:numFmt w:val="lowerLetter"/>
      <w:start w:val="1"/>
    </w:lvl>
  </w:abstractNum>
  <w:abstractNum w:abstractNumId="290">
    <w:nsid w:val="682DFED6"/>
    <w:multiLevelType w:val="hybridMultilevel"/>
    <w:lvl w:ilvl="0">
      <w:lvlJc w:val="left"/>
      <w:lvlText w:val="(%1)"/>
      <w:numFmt w:val="lowerLetter"/>
      <w:start w:val="1"/>
    </w:lvl>
  </w:abstractNum>
  <w:abstractNum w:abstractNumId="291">
    <w:nsid w:val="606ED7F6"/>
    <w:multiLevelType w:val="hybridMultilevel"/>
    <w:lvl w:ilvl="0">
      <w:lvlJc w:val="left"/>
      <w:lvlText w:val="(%1)"/>
      <w:numFmt w:val="lowerLetter"/>
      <w:start w:val="3"/>
    </w:lvl>
  </w:abstractNum>
  <w:abstractNum w:abstractNumId="292">
    <w:nsid w:val="2D9DF57D"/>
    <w:multiLevelType w:val="hybridMultilevel"/>
    <w:lvl w:ilvl="0">
      <w:lvlJc w:val="left"/>
      <w:lvlText w:val="(%1)"/>
      <w:numFmt w:val="lowerLetter"/>
      <w:start w:val="1"/>
    </w:lvl>
  </w:abstractNum>
  <w:abstractNum w:abstractNumId="293">
    <w:nsid w:val="7FBD7A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4">
    <w:nsid w:val="490B7C5"/>
    <w:multiLevelType w:val="hybridMultilevel"/>
    <w:lvl w:ilvl="0">
      <w:lvlJc w:val="left"/>
      <w:lvlText w:val="(%1)"/>
      <w:numFmt w:val="lowerLetter"/>
      <w:start w:val="2"/>
    </w:lvl>
  </w:abstractNum>
  <w:abstractNum w:abstractNumId="295">
    <w:nsid w:val="4303A216"/>
    <w:multiLevelType w:val="hybridMultilevel"/>
    <w:lvl w:ilvl="0">
      <w:lvlJc w:val="left"/>
      <w:lvlText w:val="(%1)"/>
      <w:numFmt w:val="lowerLetter"/>
      <w:start w:val="3"/>
    </w:lvl>
  </w:abstractNum>
  <w:abstractNum w:abstractNumId="296">
    <w:nsid w:val="19B8A08E"/>
    <w:multiLevelType w:val="hybridMultilevel"/>
    <w:lvl w:ilvl="0">
      <w:lvlJc w:val="left"/>
      <w:lvlText w:val="(%1)"/>
      <w:numFmt w:val="lowerLetter"/>
      <w:start w:val="1"/>
    </w:lvl>
  </w:abstractNum>
  <w:abstractNum w:abstractNumId="297">
    <w:nsid w:val="54B59621"/>
    <w:multiLevelType w:val="hybridMultilevel"/>
    <w:lvl w:ilvl="0">
      <w:lvlJc w:val="left"/>
      <w:lvlText w:val="(%1)"/>
      <w:numFmt w:val="lowerLetter"/>
      <w:start w:val="1"/>
    </w:lvl>
    <w:lvl w:ilvl="1">
      <w:lvlJc w:val="left"/>
      <w:lvlText w:val="(%2)"/>
      <w:numFmt w:val="lowerRoman"/>
      <w:start w:val="1"/>
    </w:lvl>
  </w:abstractNum>
  <w:abstractNum w:abstractNumId="298">
    <w:nsid w:val="5992A02E"/>
    <w:multiLevelType w:val="hybridMultilevel"/>
    <w:lvl w:ilvl="0">
      <w:lvlJc w:val="left"/>
      <w:lvlText w:val="(%1)"/>
      <w:numFmt w:val="lowerRoman"/>
      <w:start w:val="2"/>
    </w:lvl>
  </w:abstractNum>
  <w:abstractNum w:abstractNumId="299">
    <w:nsid w:val="29EF532D"/>
    <w:multiLevelType w:val="hybridMultilevel"/>
    <w:lvl w:ilvl="0">
      <w:lvlJc w:val="left"/>
      <w:lvlText w:val="(%1)"/>
      <w:numFmt w:val="lowerLetter"/>
      <w:start w:val="1"/>
    </w:lvl>
  </w:abstractNum>
  <w:abstractNum w:abstractNumId="300">
    <w:nsid w:val="71D601AF"/>
    <w:multiLevelType w:val="hybridMultilevel"/>
    <w:lvl w:ilvl="0">
      <w:lvlJc w:val="left"/>
      <w:lvlText w:val="(%1)"/>
      <w:numFmt w:val="lowerLetter"/>
      <w:start w:val="1"/>
    </w:lvl>
  </w:abstractNum>
  <w:abstractNum w:abstractNumId="301">
    <w:nsid w:val="52C77402"/>
    <w:multiLevelType w:val="hybridMultilevel"/>
    <w:lvl w:ilvl="0">
      <w:lvlJc w:val="left"/>
      <w:lvlText w:val="(%1)"/>
      <w:numFmt w:val="lowerLetter"/>
      <w:start w:val="3"/>
    </w:lvl>
  </w:abstractNum>
  <w:abstractNum w:abstractNumId="302">
    <w:nsid w:val="2BB5B1C6"/>
    <w:multiLevelType w:val="hybridMultilevel"/>
    <w:lvl w:ilvl="0">
      <w:lvlJc w:val="left"/>
      <w:lvlText w:val="(%1)"/>
      <w:numFmt w:val="lowerLetter"/>
      <w:start w:val="1"/>
    </w:lvl>
    <w:lvl w:ilvl="1">
      <w:lvlJc w:val="left"/>
      <w:lvlText w:val="(%2)"/>
      <w:numFmt w:val="lowerRoman"/>
      <w:start w:val="1"/>
    </w:lvl>
  </w:abstractNum>
  <w:abstractNum w:abstractNumId="303">
    <w:nsid w:val="66BE6B9"/>
    <w:multiLevelType w:val="hybridMultilevel"/>
    <w:lvl w:ilvl="0">
      <w:lvlJc w:val="left"/>
      <w:lvlText w:val="(%1)"/>
      <w:numFmt w:val="lowerLetter"/>
      <w:start w:val="2"/>
    </w:lvl>
  </w:abstractNum>
  <w:abstractNum w:abstractNumId="304">
    <w:nsid w:val="62234363"/>
    <w:multiLevelType w:val="hybridMultilevel"/>
    <w:lvl w:ilvl="0">
      <w:lvlJc w:val="left"/>
      <w:lvlText w:val="(%1)"/>
      <w:numFmt w:val="lowerLetter"/>
      <w:start w:val="1"/>
    </w:lvl>
  </w:abstractNum>
  <w:abstractNum w:abstractNumId="305">
    <w:nsid w:val="66D385C9"/>
    <w:multiLevelType w:val="hybridMultilevel"/>
    <w:lvl w:ilvl="0">
      <w:lvlJc w:val="left"/>
      <w:lvlText w:val="(%1)"/>
      <w:numFmt w:val="lowerLetter"/>
      <w:start w:val="3"/>
    </w:lvl>
  </w:abstractNum>
  <w:abstractNum w:abstractNumId="306">
    <w:nsid w:val="596F6D8A"/>
    <w:multiLevelType w:val="hybridMultilevel"/>
    <w:lvl w:ilvl="0">
      <w:lvlJc w:val="left"/>
      <w:lvlText w:val="(%1)"/>
      <w:numFmt w:val="lowerLetter"/>
      <w:start w:val="1"/>
    </w:lvl>
    <w:lvl w:ilvl="1">
      <w:lvlJc w:val="left"/>
      <w:lvlText w:val="(%2)"/>
      <w:numFmt w:val="lowerRoman"/>
      <w:start w:val="1"/>
    </w:lvl>
  </w:abstractNum>
  <w:abstractNum w:abstractNumId="307">
    <w:nsid w:val="5749361F"/>
    <w:multiLevelType w:val="hybridMultilevel"/>
    <w:lvl w:ilvl="0">
      <w:lvlJc w:val="left"/>
      <w:lvlText w:val="(%1)"/>
      <w:numFmt w:val="lowerLetter"/>
      <w:start w:val="3"/>
    </w:lvl>
  </w:abstractNum>
  <w:abstractNum w:abstractNumId="308">
    <w:nsid w:val="73BC6770"/>
    <w:multiLevelType w:val="hybridMultilevel"/>
    <w:lvl w:ilvl="0">
      <w:lvlJc w:val="left"/>
      <w:lvlText w:val="(%1)"/>
      <w:numFmt w:val="lowerLetter"/>
      <w:start w:val="1"/>
    </w:lvl>
  </w:abstractNum>
  <w:abstractNum w:abstractNumId="309">
    <w:nsid w:val="280E6897"/>
    <w:multiLevelType w:val="hybridMultilevel"/>
    <w:lvl w:ilvl="0">
      <w:lvlJc w:val="left"/>
      <w:lvlText w:val="(%1)"/>
      <w:numFmt w:val="lowerLetter"/>
      <w:start w:val="1"/>
    </w:lvl>
  </w:abstractNum>
  <w:abstractNum w:abstractNumId="310">
    <w:nsid w:val="605138DE"/>
    <w:multiLevelType w:val="hybridMultilevel"/>
    <w:lvl w:ilvl="0">
      <w:lvlJc w:val="left"/>
      <w:lvlText w:val="(%1)"/>
      <w:numFmt w:val="lowerLetter"/>
      <w:start w:val="1"/>
    </w:lvl>
    <w:lvl w:ilvl="1">
      <w:lvlJc w:val="left"/>
      <w:lvlText w:val="(%2)"/>
      <w:numFmt w:val="lowerRoman"/>
      <w:start w:val="1"/>
    </w:lvl>
  </w:abstractNum>
  <w:abstractNum w:abstractNumId="311">
    <w:nsid w:val="2622AD0C"/>
    <w:multiLevelType w:val="hybridMultilevel"/>
    <w:lvl w:ilvl="0">
      <w:lvlJc w:val="left"/>
      <w:lvlText w:val="(%1)"/>
      <w:numFmt w:val="lowerLetter"/>
      <w:start w:val="2"/>
    </w:lvl>
  </w:abstractNum>
  <w:abstractNum w:abstractNumId="312">
    <w:nsid w:val="67997556"/>
    <w:multiLevelType w:val="hybridMultilevel"/>
    <w:lvl w:ilvl="0">
      <w:lvlJc w:val="left"/>
      <w:lvlText w:val="(%1)"/>
      <w:numFmt w:val="lowerLetter"/>
      <w:start w:val="1"/>
    </w:lvl>
  </w:abstractNum>
  <w:abstractNum w:abstractNumId="313">
    <w:nsid w:val="18333C89"/>
    <w:multiLevelType w:val="hybridMultilevel"/>
    <w:lvl w:ilvl="0">
      <w:lvlJc w:val="left"/>
      <w:lvlText w:val="(%1)"/>
      <w:numFmt w:val="lowerLetter"/>
      <w:start w:val="1"/>
    </w:lvl>
    <w:lvl w:ilvl="1">
      <w:lvlJc w:val="left"/>
      <w:lvlText w:val="(%2)"/>
      <w:numFmt w:val="lowerRoman"/>
      <w:start w:val="1"/>
    </w:lvl>
  </w:abstractNum>
  <w:abstractNum w:abstractNumId="314">
    <w:nsid w:val="4BA9831A"/>
    <w:multiLevelType w:val="hybridMultilevel"/>
    <w:lvl w:ilvl="0">
      <w:lvlJc w:val="left"/>
      <w:lvlText w:val="(%1)"/>
      <w:numFmt w:val="lowerLetter"/>
      <w:start w:val="2"/>
    </w:lvl>
  </w:abstractNum>
  <w:abstractNum w:abstractNumId="315">
    <w:nsid w:val="6D71A2B"/>
    <w:multiLevelType w:val="hybridMultilevel"/>
    <w:lvl w:ilvl="0">
      <w:lvlJc w:val="left"/>
      <w:lvlText w:val="(%1)"/>
      <w:numFmt w:val="lowerLetter"/>
      <w:start w:val="3"/>
    </w:lvl>
  </w:abstractNum>
  <w:abstractNum w:abstractNumId="316">
    <w:nsid w:val="CFC7321"/>
    <w:multiLevelType w:val="hybridMultilevel"/>
    <w:lvl w:ilvl="0">
      <w:lvlJc w:val="left"/>
      <w:lvlText w:val="(%1)"/>
      <w:numFmt w:val="lowerLetter"/>
      <w:start w:val="1"/>
    </w:lvl>
  </w:abstractNum>
  <w:abstractNum w:abstractNumId="317">
    <w:nsid w:val="1421971B"/>
    <w:multiLevelType w:val="hybridMultilevel"/>
    <w:lvl w:ilvl="0">
      <w:lvlJc w:val="left"/>
      <w:lvlText w:val="(%1)"/>
      <w:numFmt w:val="lowerLetter"/>
      <w:start w:val="3"/>
    </w:lvl>
  </w:abstractNum>
  <w:abstractNum w:abstractNumId="318">
    <w:nsid w:val="1F404301"/>
    <w:multiLevelType w:val="hybridMultilevel"/>
    <w:lvl w:ilvl="0">
      <w:lvlJc w:val="left"/>
      <w:lvlText w:val="%1"/>
      <w:numFmt w:val="decimal"/>
      <w:start w:val="26"/>
    </w:lvl>
  </w:abstractNum>
  <w:abstractNum w:abstractNumId="319">
    <w:nsid w:val="116E0907"/>
    <w:multiLevelType w:val="hybridMultilevel"/>
    <w:lvl w:ilvl="0">
      <w:lvlJc w:val="left"/>
      <w:lvlText w:val="(%1)"/>
      <w:numFmt w:val="lowerLetter"/>
      <w:start w:val="1"/>
    </w:lvl>
  </w:abstractNum>
  <w:abstractNum w:abstractNumId="320">
    <w:nsid w:val="4B683D0D"/>
    <w:multiLevelType w:val="hybridMultilevel"/>
    <w:lvl w:ilvl="0">
      <w:lvlJc w:val="left"/>
      <w:lvlText w:val="(%1)"/>
      <w:numFmt w:val="lowerLetter"/>
      <w:start w:val="1"/>
    </w:lvl>
  </w:abstractNum>
  <w:abstractNum w:abstractNumId="321">
    <w:nsid w:val="76E41D8"/>
    <w:multiLevelType w:val="hybridMultilevel"/>
    <w:lvl w:ilvl="0">
      <w:lvlJc w:val="left"/>
      <w:lvlText w:val="(%1)"/>
      <w:numFmt w:val="lowerLetter"/>
      <w:start w:val="1"/>
    </w:lvl>
  </w:abstractNum>
  <w:abstractNum w:abstractNumId="322">
    <w:nsid w:val="71DCE0FD"/>
    <w:multiLevelType w:val="hybridMultilevel"/>
    <w:lvl w:ilvl="0">
      <w:lvlJc w:val="left"/>
      <w:lvlText w:val="(%1)"/>
      <w:numFmt w:val="lowerLetter"/>
      <w:start w:val="1"/>
    </w:lvl>
  </w:abstractNum>
  <w:abstractNum w:abstractNumId="323">
    <w:nsid w:val="7906328B"/>
    <w:multiLevelType w:val="hybridMultilevel"/>
    <w:lvl w:ilvl="0">
      <w:lvlJc w:val="left"/>
      <w:lvlText w:val="(%1)"/>
      <w:numFmt w:val="lowerLetter"/>
      <w:start w:val="1"/>
    </w:lvl>
  </w:abstractNum>
  <w:abstractNum w:abstractNumId="324">
    <w:nsid w:val="72BBC16"/>
    <w:multiLevelType w:val="hybridMultilevel"/>
    <w:lvl w:ilvl="0">
      <w:lvlJc w:val="left"/>
      <w:lvlText w:val="%1"/>
      <w:numFmt w:val="decimal"/>
      <w:start w:val="27"/>
    </w:lvl>
    <w:lvl w:ilvl="1">
      <w:lvlJc w:val="left"/>
      <w:lvlText w:val="(%2)"/>
      <w:numFmt w:val="lowerLetter"/>
      <w:start w:val="1"/>
    </w:lvl>
  </w:abstractNum>
  <w:abstractNum w:abstractNumId="325">
    <w:nsid w:val="766D98C2"/>
    <w:multiLevelType w:val="hybridMultilevel"/>
    <w:lvl w:ilvl="0">
      <w:lvlJc w:val="left"/>
      <w:lvlText w:val="(%1)"/>
      <w:numFmt w:val="lowerLetter"/>
      <w:start w:val="1"/>
    </w:lvl>
    <w:lvl w:ilvl="1">
      <w:lvlJc w:val="left"/>
      <w:lvlText w:val="(%2)"/>
      <w:numFmt w:val="lowerLetter"/>
      <w:start w:val="9"/>
    </w:lvl>
  </w:abstractNum>
  <w:abstractNum w:abstractNumId="326">
    <w:nsid w:val="3C09D4A1"/>
    <w:multiLevelType w:val="hybridMultilevel"/>
    <w:lvl w:ilvl="0">
      <w:lvlJc w:val="left"/>
      <w:lvlText w:val="(%1)"/>
      <w:numFmt w:val="lowerRoman"/>
      <w:start w:val="2"/>
    </w:lvl>
  </w:abstractNum>
  <w:abstractNum w:abstractNumId="327">
    <w:nsid w:val="20E45CA4"/>
    <w:multiLevelType w:val="hybridMultilevel"/>
    <w:lvl w:ilvl="0">
      <w:lvlJc w:val="left"/>
      <w:lvlText w:val="(%1)"/>
      <w:numFmt w:val="lowerLetter"/>
      <w:start w:val="1"/>
    </w:lvl>
  </w:abstractNum>
  <w:abstractNum w:abstractNumId="328">
    <w:nsid w:val="4B232EE3"/>
    <w:multiLevelType w:val="hybridMultilevel"/>
    <w:lvl w:ilvl="0">
      <w:lvlJc w:val="left"/>
      <w:lvlText w:val="(%1)"/>
      <w:numFmt w:val="lowerLetter"/>
      <w:start w:val="1"/>
    </w:lvl>
    <w:lvl w:ilvl="1">
      <w:lvlJc w:val="left"/>
      <w:lvlText w:val="(%2)"/>
      <w:numFmt w:val="lowerLetter"/>
      <w:start w:val="9"/>
    </w:lvl>
  </w:abstractNum>
  <w:abstractNum w:abstractNumId="329">
    <w:nsid w:val="159C74CF"/>
    <w:multiLevelType w:val="hybridMultilevel"/>
    <w:lvl w:ilvl="0">
      <w:lvlJc w:val="left"/>
      <w:lvlText w:val="(%1)"/>
      <w:numFmt w:val="lowerRoman"/>
      <w:start w:val="2"/>
    </w:lvl>
  </w:abstractNum>
  <w:abstractNum w:abstractNumId="330">
    <w:nsid w:val="4AD3AFD2"/>
    <w:multiLevelType w:val="hybridMultilevel"/>
    <w:lvl w:ilvl="0">
      <w:lvlJc w:val="left"/>
      <w:lvlText w:val="%1"/>
      <w:numFmt w:val="decimal"/>
      <w:start w:val="29"/>
    </w:lvl>
  </w:abstractNum>
  <w:abstractNum w:abstractNumId="331">
    <w:nsid w:val="3CF93092"/>
    <w:multiLevelType w:val="hybridMultilevel"/>
    <w:lvl w:ilvl="0">
      <w:lvlJc w:val="left"/>
      <w:lvlText w:val="(%1)"/>
      <w:numFmt w:val="lowerLetter"/>
      <w:start w:val="1"/>
    </w:lvl>
  </w:abstractNum>
  <w:abstractNum w:abstractNumId="332">
    <w:nsid w:val="6863E8D2"/>
    <w:multiLevelType w:val="hybridMultilevel"/>
    <w:lvl w:ilvl="0">
      <w:lvlJc w:val="left"/>
      <w:lvlText w:val="(%1)"/>
      <w:numFmt w:val="lowerLetter"/>
      <w:start w:val="1"/>
    </w:lvl>
  </w:abstractNum>
  <w:abstractNum w:abstractNumId="333">
    <w:nsid w:val="76896198"/>
    <w:multiLevelType w:val="hybridMultilevel"/>
    <w:lvl w:ilvl="0">
      <w:lvlJc w:val="left"/>
      <w:lvlText w:val="(%1)"/>
      <w:numFmt w:val="lowerLetter"/>
      <w:start w:val="1"/>
    </w:lvl>
  </w:abstractNum>
  <w:abstractNum w:abstractNumId="334">
    <w:nsid w:val="4365174B"/>
    <w:multiLevelType w:val="hybridMultilevel"/>
    <w:lvl w:ilvl="0">
      <w:lvlJc w:val="left"/>
      <w:lvlText w:val="(%1)"/>
      <w:numFmt w:val="lowerLetter"/>
      <w:start w:val="1"/>
    </w:lvl>
    <w:lvl w:ilvl="1">
      <w:lvlJc w:val="left"/>
      <w:lvlText w:val="(%2)"/>
      <w:numFmt w:val="lowerRoman"/>
      <w:start w:val="1"/>
    </w:lvl>
  </w:abstractNum>
  <w:abstractNum w:abstractNumId="335">
    <w:nsid w:val="4A872C35"/>
    <w:multiLevelType w:val="hybridMultilevel"/>
    <w:lvl w:ilvl="0">
      <w:lvlJc w:val="left"/>
      <w:lvlText w:val="%1"/>
      <w:numFmt w:val="lowerLetter"/>
      <w:start w:val="1"/>
    </w:lvl>
    <w:lvl w:ilvl="1">
      <w:lvlJc w:val="left"/>
      <w:lvlText w:val="(%2)"/>
      <w:numFmt w:val="lowerRoman"/>
      <w:start w:val="2"/>
    </w:lvl>
  </w:abstractNum>
  <w:abstractNum w:abstractNumId="336">
    <w:nsid w:val="5D5CE761"/>
    <w:multiLevelType w:val="hybridMultilevel"/>
    <w:lvl w:ilvl="0">
      <w:lvlJc w:val="left"/>
      <w:lvlText w:val="(%1)"/>
      <w:numFmt w:val="lowerLetter"/>
      <w:start w:val="2"/>
    </w:lvl>
    <w:lvl w:ilvl="1">
      <w:lvlJc w:val="left"/>
      <w:lvlText w:val="%2"/>
      <w:numFmt w:val="lowerRoman"/>
      <w:start w:val="1"/>
    </w:lvl>
  </w:abstractNum>
  <w:abstractNum w:abstractNumId="337">
    <w:nsid w:val="1CD484D5"/>
    <w:multiLevelType w:val="hybridMultilevel"/>
    <w:lvl w:ilvl="0">
      <w:lvlJc w:val="left"/>
      <w:lvlText w:val="(%1)"/>
      <w:numFmt w:val="lowerLetter"/>
      <w:start w:val="1"/>
    </w:lvl>
  </w:abstractNum>
  <w:abstractNum w:abstractNumId="338">
    <w:nsid w:val="21D06255"/>
    <w:multiLevelType w:val="hybridMultilevel"/>
    <w:lvl w:ilvl="0">
      <w:lvlJc w:val="left"/>
      <w:lvlText w:val="(%1)"/>
      <w:numFmt w:val="lowerLetter"/>
      <w:start w:val="1"/>
    </w:lvl>
  </w:abstractNum>
  <w:abstractNum w:abstractNumId="339">
    <w:nsid w:val="51194ED1"/>
    <w:multiLevelType w:val="hybridMultilevel"/>
    <w:lvl w:ilvl="0">
      <w:lvlJc w:val="left"/>
      <w:lvlText w:val="(%1)"/>
      <w:numFmt w:val="lowerLetter"/>
      <w:start w:val="1"/>
    </w:lvl>
    <w:lvl w:ilvl="1">
      <w:lvlJc w:val="left"/>
      <w:lvlText w:val="(%2)"/>
      <w:numFmt w:val="lowerRoman"/>
      <w:start w:val="1"/>
    </w:lvl>
  </w:abstractNum>
  <w:abstractNum w:abstractNumId="340">
    <w:nsid w:val="44E2ED6C"/>
    <w:multiLevelType w:val="hybridMultilevel"/>
    <w:lvl w:ilvl="0">
      <w:lvlJc w:val="left"/>
      <w:lvlText w:val="%1"/>
      <w:numFmt w:val="lowerLetter"/>
      <w:start w:val="1"/>
    </w:lvl>
    <w:lvl w:ilvl="1">
      <w:lvlJc w:val="left"/>
      <w:lvlText w:val="(%2)"/>
      <w:numFmt w:val="lowerLetter"/>
      <w:start w:val="35"/>
    </w:lvl>
  </w:abstractNum>
  <w:abstractNum w:abstractNumId="341">
    <w:nsid w:val="2219B33"/>
    <w:multiLevelType w:val="hybridMultilevel"/>
    <w:lvl w:ilvl="0">
      <w:lvlJc w:val="left"/>
      <w:lvlText w:val="(%1)"/>
      <w:numFmt w:val="lowerLetter"/>
      <w:start w:val="2"/>
    </w:lvl>
    <w:lvl w:ilvl="1">
      <w:lvlJc w:val="left"/>
      <w:lvlText w:val="%2"/>
      <w:numFmt w:val="lowerLetter"/>
      <w:start w:val="1"/>
    </w:lvl>
  </w:abstractNum>
  <w:abstractNum w:abstractNumId="342">
    <w:nsid w:val="773BFBDD"/>
    <w:multiLevelType w:val="hybridMultilevel"/>
    <w:lvl w:ilvl="0">
      <w:lvlJc w:val="left"/>
      <w:lvlText w:val="(%1)"/>
      <w:numFmt w:val="lowerLetter"/>
      <w:start w:val="1"/>
    </w:lvl>
  </w:abstractNum>
  <w:abstractNum w:abstractNumId="343">
    <w:nsid w:val="2C7C62C2"/>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344">
    <w:nsid w:val="1A54D7BC"/>
    <w:multiLevelType w:val="hybridMultilevel"/>
    <w:lvl w:ilvl="0">
      <w:lvlJc w:val="left"/>
      <w:lvlText w:val="(%1)"/>
      <w:numFmt w:val="lowerRoman"/>
      <w:start w:val="2"/>
    </w:lvl>
  </w:abstractNum>
  <w:abstractNum w:abstractNumId="345">
    <w:nsid w:val="42E57EF7"/>
    <w:multiLevelType w:val="hybridMultilevel"/>
    <w:lvl w:ilvl="0">
      <w:lvlJc w:val="left"/>
      <w:lvlText w:val="(%1)"/>
      <w:numFmt w:val="lowerLetter"/>
      <w:start w:val="2"/>
    </w:lvl>
  </w:abstractNum>
  <w:abstractNum w:abstractNumId="346">
    <w:nsid w:val="33537CED"/>
    <w:multiLevelType w:val="hybridMultilevel"/>
    <w:lvl w:ilvl="0">
      <w:lvlJc w:val="left"/>
      <w:lvlText w:val="%1"/>
      <w:numFmt w:val="decimal"/>
      <w:start w:val="31"/>
    </w:lvl>
  </w:abstractNum>
  <w:abstractNum w:abstractNumId="347">
    <w:nsid w:val="27514ADE"/>
    <w:multiLevelType w:val="hybridMultilevel"/>
    <w:lvl w:ilvl="0">
      <w:lvlJc w:val="left"/>
      <w:lvlText w:val="(%1)"/>
      <w:numFmt w:val="lowerLetter"/>
      <w:start w:val="1"/>
    </w:lvl>
    <w:lvl w:ilvl="1">
      <w:lvlJc w:val="left"/>
      <w:lvlText w:val="(%2)"/>
      <w:numFmt w:val="lowerRoman"/>
      <w:start w:val="1"/>
    </w:lvl>
  </w:abstractNum>
  <w:abstractNum w:abstractNumId="348">
    <w:nsid w:val="57071613"/>
    <w:multiLevelType w:val="hybridMultilevel"/>
    <w:lvl w:ilvl="0">
      <w:lvlJc w:val="left"/>
      <w:lvlText w:val="(%1)"/>
      <w:numFmt w:val="lowerLetter"/>
      <w:start w:val="2"/>
    </w:lvl>
  </w:abstractNum>
  <w:abstractNum w:abstractNumId="349">
    <w:nsid w:val="5293BFEF"/>
    <w:multiLevelType w:val="hybridMultilevel"/>
    <w:lvl w:ilvl="0">
      <w:lvlJc w:val="left"/>
      <w:lvlText w:val="(%1)"/>
      <w:numFmt w:val="lowerLetter"/>
      <w:start w:val="3"/>
    </w:lvl>
  </w:abstractNum>
  <w:abstractNum w:abstractNumId="350">
    <w:nsid w:val="38BF53E5"/>
    <w:multiLevelType w:val="hybridMultilevel"/>
    <w:lvl w:ilvl="0">
      <w:lvlJc w:val="left"/>
      <w:lvlText w:val="(%1)"/>
      <w:numFmt w:val="lowerLetter"/>
      <w:start w:val="1"/>
    </w:lvl>
    <w:lvl w:ilvl="1">
      <w:lvlJc w:val="left"/>
      <w:lvlText w:val="(%2)"/>
      <w:numFmt w:val="lowerRoman"/>
      <w:start w:val="1"/>
    </w:lvl>
  </w:abstractNum>
  <w:abstractNum w:abstractNumId="351">
    <w:nsid w:val="226F5320"/>
    <w:multiLevelType w:val="hybridMultilevel"/>
    <w:lvl w:ilvl="0">
      <w:lvlJc w:val="left"/>
      <w:lvlText w:val="(%1)"/>
      <w:numFmt w:val="lowerLetter"/>
      <w:start w:val="1"/>
    </w:lvl>
    <w:lvl w:ilvl="1">
      <w:lvlJc w:val="left"/>
      <w:lvlText w:val="(%2)"/>
      <w:numFmt w:val="lowerRoman"/>
      <w:start w:val="1"/>
    </w:lvl>
  </w:abstractNum>
  <w:abstractNum w:abstractNumId="352">
    <w:nsid w:val="5A0201C7"/>
    <w:multiLevelType w:val="hybridMultilevel"/>
    <w:lvl w:ilvl="0">
      <w:lvlJc w:val="left"/>
      <w:lvlText w:val="(%1)"/>
      <w:numFmt w:val="lowerLetter"/>
      <w:start w:val="2"/>
    </w:lvl>
    <w:lvl w:ilvl="1">
      <w:lvlJc w:val="left"/>
      <w:lvlText w:val="(%2)"/>
      <w:numFmt w:val="lowerRoman"/>
      <w:start w:val="1"/>
    </w:lvl>
  </w:abstractNum>
  <w:abstractNum w:abstractNumId="353">
    <w:nsid w:val="2A9C34E2"/>
    <w:multiLevelType w:val="hybridMultilevel"/>
    <w:lvl w:ilvl="0">
      <w:lvlJc w:val="left"/>
      <w:lvlText w:val="(%1)"/>
      <w:numFmt w:val="lowerLetter"/>
      <w:start w:val="4"/>
    </w:lvl>
  </w:abstractNum>
  <w:abstractNum w:abstractNumId="354">
    <w:nsid w:val="1B7585AB"/>
    <w:multiLevelType w:val="hybridMultilevel"/>
    <w:lvl w:ilvl="0">
      <w:lvlJc w:val="left"/>
      <w:lvlText w:val="(%1)"/>
      <w:numFmt w:val="lowerLetter"/>
      <w:start w:val="1"/>
    </w:lvl>
    <w:lvl w:ilvl="1">
      <w:lvlJc w:val="left"/>
      <w:lvlText w:val="(%2)"/>
      <w:numFmt w:val="lowerRoman"/>
      <w:start w:val="1"/>
    </w:lvl>
  </w:abstractNum>
  <w:abstractNum w:abstractNumId="355">
    <w:nsid w:val="612DBDDD"/>
    <w:multiLevelType w:val="hybridMultilevel"/>
    <w:lvl w:ilvl="0">
      <w:lvlJc w:val="left"/>
      <w:lvlText w:val="%1"/>
      <w:numFmt w:val="decimal"/>
      <w:start w:val="33"/>
    </w:lvl>
  </w:abstractNum>
  <w:abstractNum w:abstractNumId="356">
    <w:nsid w:val="2109CDA4"/>
    <w:multiLevelType w:val="hybridMultilevel"/>
    <w:lvl w:ilvl="0">
      <w:lvlJc w:val="left"/>
      <w:lvlText w:val="%1"/>
      <w:numFmt w:val="decimal"/>
      <w:start w:val="34"/>
    </w:lvl>
  </w:abstractNum>
  <w:abstractNum w:abstractNumId="357">
    <w:nsid w:val="577F5A4D"/>
    <w:multiLevelType w:val="hybridMultilevel"/>
    <w:lvl w:ilvl="0">
      <w:lvlJc w:val="left"/>
      <w:lvlText w:val="(%1)"/>
      <w:numFmt w:val="lowerLetter"/>
      <w:start w:val="1"/>
    </w:lvl>
  </w:abstractNum>
  <w:abstractNum w:abstractNumId="358">
    <w:nsid w:val="2121A81"/>
    <w:multiLevelType w:val="hybridMultilevel"/>
    <w:lvl w:ilvl="0">
      <w:lvlJc w:val="left"/>
      <w:lvlText w:val="(%1)"/>
      <w:numFmt w:val="lowerLetter"/>
      <w:start w:val="2"/>
    </w:lvl>
  </w:abstractNum>
  <w:abstractNum w:abstractNumId="359">
    <w:nsid w:val="6C2CFC8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0">
    <w:nsid w:val="6D1BCF1C"/>
    <w:multiLevelType w:val="hybridMultilevel"/>
    <w:lvl w:ilvl="0">
      <w:lvlJc w:val="left"/>
      <w:lvlText w:val="(%1)"/>
      <w:numFmt w:val="lowerRoman"/>
      <w:start w:val="5"/>
    </w:lvl>
  </w:abstractNum>
  <w:abstractNum w:abstractNumId="361">
    <w:nsid w:val="4CE5CA53"/>
    <w:multiLevelType w:val="hybridMultilevel"/>
    <w:lvl w:ilvl="0">
      <w:lvlJc w:val="left"/>
      <w:lvlText w:val="(%1)"/>
      <w:numFmt w:val="lowerLetter"/>
      <w:start w:val="3"/>
    </w:lvl>
    <w:lvl w:ilvl="1">
      <w:lvlJc w:val="left"/>
      <w:lvlText w:val="(%2)"/>
      <w:numFmt w:val="lowerRoman"/>
      <w:start w:val="1"/>
    </w:lvl>
  </w:abstractNum>
  <w:abstractNum w:abstractNumId="362">
    <w:nsid w:val="29262D1A"/>
    <w:multiLevelType w:val="hybridMultilevel"/>
    <w:lvl w:ilvl="0">
      <w:lvlJc w:val="left"/>
      <w:lvlText w:val="(%1)"/>
      <w:numFmt w:val="lowerLetter"/>
      <w:start w:val="7"/>
    </w:lvl>
    <w:lvl w:ilvl="1">
      <w:lvlJc w:val="left"/>
      <w:lvlText w:val="(%2)"/>
      <w:numFmt w:val="lowerRoman"/>
      <w:start w:val="1"/>
    </w:lvl>
  </w:abstractNum>
  <w:abstractNum w:abstractNumId="363">
    <w:nsid w:val="557FB7EE"/>
    <w:multiLevelType w:val="hybridMultilevel"/>
    <w:lvl w:ilvl="0">
      <w:lvlJc w:val="left"/>
      <w:lvlText w:val="(%1)"/>
      <w:numFmt w:val="lowerLetter"/>
      <w:start w:val="12"/>
    </w:lvl>
  </w:abstractNum>
  <w:abstractNum w:abstractNumId="364">
    <w:nsid w:val="436F2BEB"/>
    <w:multiLevelType w:val="hybridMultilevel"/>
    <w:lvl w:ilvl="0">
      <w:lvlJc w:val="left"/>
      <w:lvlText w:val="(%1)"/>
      <w:numFmt w:val="lowerLetter"/>
      <w:start w:val="13"/>
    </w:lvl>
  </w:abstractNum>
  <w:abstractNum w:abstractNumId="365">
    <w:nsid w:val="6C8B44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6">
    <w:nsid w:val="2006E424"/>
    <w:multiLevelType w:val="hybridMultilevel"/>
    <w:lvl w:ilvl="0">
      <w:lvlJc w:val="left"/>
      <w:lvlText w:val="(%1)"/>
      <w:numFmt w:val="lowerRoman"/>
      <w:start w:val="2"/>
    </w:lvl>
  </w:abstractNum>
  <w:abstractNum w:abstractNumId="367">
    <w:nsid w:val="20CC13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8">
    <w:nsid w:val="95FC93B"/>
    <w:multiLevelType w:val="hybridMultilevel"/>
    <w:lvl w:ilvl="0">
      <w:lvlJc w:val="left"/>
      <w:lvlText w:val="(%1)"/>
      <w:numFmt w:val="lowerLetter"/>
      <w:start w:val="3"/>
    </w:lvl>
  </w:abstractNum>
  <w:abstractNum w:abstractNumId="369">
    <w:nsid w:val="41D74679"/>
    <w:multiLevelType w:val="hybridMultilevel"/>
    <w:lvl w:ilvl="0">
      <w:lvlJc w:val="left"/>
      <w:lvlText w:val="(%1)"/>
      <w:numFmt w:val="lowerLetter"/>
      <w:start w:val="1"/>
    </w:lvl>
    <w:lvl w:ilvl="1">
      <w:lvlJc w:val="left"/>
      <w:lvlText w:val="(%2)"/>
      <w:numFmt w:val="lowerRoman"/>
      <w:start w:val="1"/>
    </w:lvl>
  </w:abstractNum>
  <w:abstractNum w:abstractNumId="370">
    <w:nsid w:val="71E5621E"/>
    <w:multiLevelType w:val="hybridMultilevel"/>
    <w:lvl w:ilvl="0">
      <w:lvlJc w:val="left"/>
      <w:lvlText w:val="(%1)"/>
      <w:numFmt w:val="lowerLetter"/>
      <w:start w:val="2"/>
    </w:lvl>
    <w:lvl w:ilvl="1">
      <w:lvlJc w:val="left"/>
      <w:lvlText w:val="(%2)"/>
      <w:numFmt w:val="lowerRoman"/>
      <w:start w:val="1"/>
    </w:lvl>
  </w:abstractNum>
  <w:abstractNum w:abstractNumId="371">
    <w:nsid w:val="4E42B6A8"/>
    <w:multiLevelType w:val="hybridMultilevel"/>
    <w:lvl w:ilvl="0">
      <w:lvlJc w:val="left"/>
      <w:lvlText w:val="(%1)"/>
      <w:numFmt w:val="upperLetter"/>
      <w:start w:val="1"/>
    </w:lvl>
  </w:abstractNum>
  <w:abstractNum w:abstractNumId="372">
    <w:nsid w:val="43F8E1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73">
    <w:nsid w:val="69215DFB"/>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74">
    <w:nsid w:val="7ABF196A"/>
    <w:multiLevelType w:val="hybridMultilevel"/>
    <w:lvl w:ilvl="0">
      <w:lvlJc w:val="left"/>
      <w:lvlText w:val="(%1)"/>
      <w:numFmt w:val="lowerRoman"/>
      <w:start w:val="2"/>
    </w:lvl>
  </w:abstractNum>
  <w:abstractNum w:abstractNumId="375">
    <w:nsid w:val="5E4DB968"/>
    <w:multiLevelType w:val="hybridMultilevel"/>
    <w:lvl w:ilvl="0">
      <w:lvlJc w:val="left"/>
      <w:lvlText w:val="(%1)"/>
      <w:numFmt w:val="lowerLetter"/>
      <w:start w:val="5"/>
    </w:lvl>
  </w:abstractNum>
  <w:abstractNum w:abstractNumId="376">
    <w:nsid w:val="2C06DCF3"/>
    <w:multiLevelType w:val="hybridMultilevel"/>
    <w:lvl w:ilvl="0">
      <w:lvlJc w:val="left"/>
      <w:lvlText w:val="(%1)"/>
      <w:numFmt w:val="lowerLetter"/>
      <w:start w:val="1"/>
    </w:lvl>
  </w:abstractNum>
  <w:abstractNum w:abstractNumId="377">
    <w:nsid w:val="2E129658"/>
    <w:multiLevelType w:val="hybridMultilevel"/>
    <w:lvl w:ilvl="0">
      <w:lvlJc w:val="left"/>
      <w:lvlText w:val="(%1)"/>
      <w:numFmt w:val="lowerRoman"/>
      <w:start w:val="1"/>
    </w:lvl>
  </w:abstractNum>
  <w:abstractNum w:abstractNumId="378">
    <w:nsid w:val="59F0446"/>
    <w:multiLevelType w:val="hybridMultilevel"/>
    <w:lvl w:ilvl="0">
      <w:lvlJc w:val="left"/>
      <w:lvlText w:val="(%1)"/>
      <w:numFmt w:val="lowerLetter"/>
      <w:start w:val="1"/>
    </w:lvl>
    <w:lvl w:ilvl="1">
      <w:lvlJc w:val="left"/>
      <w:lvlText w:val="(%2)"/>
      <w:numFmt w:val="lowerRoman"/>
      <w:start w:val="1"/>
    </w:lvl>
  </w:abstractNum>
  <w:abstractNum w:abstractNumId="379">
    <w:nsid w:val="30DF306"/>
    <w:multiLevelType w:val="hybridMultilevel"/>
    <w:lvl w:ilvl="0">
      <w:lvlJc w:val="left"/>
      <w:lvlText w:val="%1"/>
      <w:numFmt w:val="decimal"/>
      <w:start w:val="37"/>
    </w:lvl>
  </w:abstractNum>
  <w:abstractNum w:abstractNumId="380">
    <w:nsid w:val="A65647"/>
    <w:multiLevelType w:val="hybridMultilevel"/>
    <w:lvl w:ilvl="0">
      <w:lvlJc w:val="left"/>
      <w:lvlText w:val="(%1)"/>
      <w:numFmt w:val="lowerLetter"/>
      <w:start w:val="1"/>
    </w:lvl>
    <w:lvl w:ilvl="1">
      <w:lvlJc w:val="left"/>
      <w:lvlText w:val="(%2)"/>
      <w:numFmt w:val="lowerRoman"/>
      <w:start w:val="1"/>
    </w:lvl>
  </w:abstractNum>
  <w:abstractNum w:abstractNumId="381">
    <w:nsid w:val="3E5E582B"/>
    <w:multiLevelType w:val="hybridMultilevel"/>
    <w:lvl w:ilvl="0">
      <w:lvlJc w:val="left"/>
      <w:lvlText w:val="(%1)"/>
      <w:numFmt w:val="lowerRoman"/>
      <w:start w:val="3"/>
    </w:lvl>
  </w:abstractNum>
  <w:abstractNum w:abstractNumId="382">
    <w:nsid w:val="257D4626"/>
    <w:multiLevelType w:val="hybridMultilevel"/>
    <w:lvl w:ilvl="0">
      <w:lvlJc w:val="left"/>
      <w:lvlText w:val="(%1)"/>
      <w:numFmt w:val="upperLetter"/>
      <w:start w:val="1"/>
    </w:lvl>
  </w:abstractNum>
  <w:abstractNum w:abstractNumId="383">
    <w:nsid w:val="5AA8580E"/>
    <w:multiLevelType w:val="hybridMultilevel"/>
    <w:lvl w:ilvl="0">
      <w:lvlJc w:val="left"/>
      <w:lvlText w:val="(%1)"/>
      <w:numFmt w:val="lowerLetter"/>
      <w:start w:val="3"/>
    </w:lvl>
  </w:abstractNum>
  <w:abstractNum w:abstractNumId="384">
    <w:nsid w:val="68FA8D0D"/>
    <w:multiLevelType w:val="hybridMultilevel"/>
    <w:lvl w:ilvl="0">
      <w:lvlJc w:val="left"/>
      <w:lvlText w:val="(%1)"/>
      <w:numFmt w:val="lowerLetter"/>
      <w:start w:val="1"/>
    </w:lvl>
    <w:lvl w:ilvl="1">
      <w:lvlJc w:val="left"/>
      <w:lvlText w:val="(%2)"/>
      <w:numFmt w:val="lowerRoman"/>
      <w:start w:val="1"/>
    </w:lvl>
  </w:abstractNum>
  <w:abstractNum w:abstractNumId="385">
    <w:nsid w:val="40F2CBD2"/>
    <w:multiLevelType w:val="hybridMultilevel"/>
    <w:lvl w:ilvl="0">
      <w:lvlJc w:val="left"/>
      <w:lvlText w:val="(%1)"/>
      <w:numFmt w:val="lowerRoman"/>
      <w:start w:val="7"/>
    </w:lvl>
  </w:abstractNum>
  <w:abstractNum w:abstractNumId="386">
    <w:nsid w:val="3BD615EB"/>
    <w:multiLevelType w:val="hybridMultilevel"/>
    <w:lvl w:ilvl="0">
      <w:lvlJc w:val="left"/>
      <w:lvlText w:val="(%1)"/>
      <w:numFmt w:val="lowerLetter"/>
      <w:start w:val="2"/>
    </w:lvl>
    <w:lvl w:ilvl="1">
      <w:lvlJc w:val="left"/>
      <w:lvlText w:val="(%2)"/>
      <w:numFmt w:val="lowerRoman"/>
      <w:start w:val="1"/>
    </w:lvl>
  </w:abstractNum>
  <w:abstractNum w:abstractNumId="387">
    <w:nsid w:val="A045AB2"/>
    <w:multiLevelType w:val="hybridMultilevel"/>
    <w:lvl w:ilvl="0">
      <w:lvlJc w:val="left"/>
      <w:lvlText w:val="(%1)"/>
      <w:numFmt w:val="lowerLetter"/>
      <w:start w:val="1"/>
    </w:lvl>
  </w:abstractNum>
  <w:abstractNum w:abstractNumId="388">
    <w:nsid w:val="1872261F"/>
    <w:multiLevelType w:val="hybridMultilevel"/>
    <w:lvl w:ilvl="0">
      <w:lvlJc w:val="left"/>
      <w:lvlText w:val="(%1)"/>
      <w:numFmt w:val="lowerLetter"/>
      <w:start w:val="1"/>
    </w:lvl>
  </w:abstractNum>
  <w:abstractNum w:abstractNumId="389">
    <w:nsid w:val="3DE8306C"/>
    <w:multiLevelType w:val="hybridMultilevel"/>
    <w:lvl w:ilvl="0">
      <w:lvlJc w:val="left"/>
      <w:lvlText w:val="%1"/>
      <w:numFmt w:val="decimal"/>
      <w:start w:val="38"/>
    </w:lvl>
  </w:abstractNum>
  <w:abstractNum w:abstractNumId="390">
    <w:nsid w:val="7631573A"/>
    <w:multiLevelType w:val="hybridMultilevel"/>
    <w:lvl w:ilvl="0">
      <w:lvlJc w:val="left"/>
      <w:lvlText w:val="(%1)"/>
      <w:numFmt w:val="lowerLetter"/>
      <w:start w:val="1"/>
    </w:lvl>
  </w:abstractNum>
  <w:abstractNum w:abstractNumId="391">
    <w:nsid w:val="58DF53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2026-06-30T19:10:58Z</dcterms:created>
  <dcterms:modified xsi:type="dcterms:W3CDTF">2026-06-30T19:10:58Z</dcterms:modified>
</cp:coreProperties>
</file>