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333-275111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142875</wp:posOffset>
            </wp:positionV>
            <wp:extent cx="183451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22,666,667 Ordinary Shares</w:t>
      </w:r>
    </w:p>
    <w:p>
      <w:pPr>
        <w:spacing w:after="0" w:line="236"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22,666,667 ordinary shares, with a nominal value of $0.01 per share, pursuant to this prospectus supplement and accompanying prospectus.</w:t>
      </w:r>
    </w:p>
    <w:p>
      <w:pPr>
        <w:spacing w:after="0" w:line="162"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(“Nasdaq”) and the Nasdaq Main Market in Iceland (the “Nasdaq Iceland Main Market”) under the symbol “ALVO.” Our warrants are listed on Nasdaq under the symbol “ALVOW.” Our Swedish Depositary Receipts (“SDRs”), each representing one ordinary share, are listed on Nasdaq Stockholm under the symbol “ALVO SDB.” On June 15, 2026, the closing price of our ordinary shares on Nasdaq was $4.24.</w:t>
      </w:r>
    </w:p>
    <w:p>
      <w:pPr>
        <w:spacing w:after="0" w:line="180"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16, 2026, we entered into agreements with certain investors in the European Economic Area pursuant to which the investors have agreed to subscribe to an aggregate of 17,826,666 of our ordinary shares in a private placement, at the public offering price, for gross proceeds to us of approximately $66.85 million. We refer to this transaction as the “concurrent private placement.” The shares will be offered solely to professional clients or eligible counterparties falling within article 1(4) of Regulation (EU) 2017/1129.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“foreign private issuer” under applicable Securities and Exchange Commission (“SEC”) rules and are eligible for reduced public company disclosure requirements. See “Prospectus Supplement Summary—Implications of Being a ‘Foreign Private Issuer.’”</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on page S-7 of this prospectus supplement and in the documents that are incorporated by reference into this prospectus supplement.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58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800" w:type="dxa"/>
            <w:vAlign w:val="bottom"/>
            <w:tcBorders>
              <w:top w:val="single" w:sz="8" w:color="E5FFFF"/>
            </w:tcBorders>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Public offering price</w:t>
            </w:r>
          </w:p>
        </w:tc>
        <w:tc>
          <w:tcPr>
            <w:tcW w:w="26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8"/>
              </w:rPr>
              <w:t>85,000,001.25</w:t>
            </w:r>
          </w:p>
        </w:tc>
      </w:tr>
      <w:tr>
        <w:trPr>
          <w:trHeight w:val="257"/>
        </w:trPr>
        <w:tc>
          <w:tcPr>
            <w:tcW w:w="580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Underwriting commissions</w:t>
            </w:r>
            <w:r>
              <w:rPr>
                <w:rFonts w:ascii="Times New Roman" w:cs="Times New Roman" w:eastAsia="Times New Roman" w:hAnsi="Times New Roman"/>
                <w:sz w:val="29"/>
                <w:szCs w:val="29"/>
                <w:color w:val="auto"/>
                <w:vertAlign w:val="superscript"/>
              </w:rPr>
              <w:t>(1)</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5,100,000.08</w:t>
            </w:r>
          </w:p>
        </w:tc>
      </w:tr>
      <w:tr>
        <w:trPr>
          <w:trHeight w:val="216"/>
        </w:trPr>
        <w:tc>
          <w:tcPr>
            <w:tcW w:w="580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Proceeds to the Company (before expenses)</w:t>
            </w:r>
          </w:p>
        </w:tc>
        <w:tc>
          <w:tcPr>
            <w:tcW w:w="27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8"/>
              </w:rPr>
              <w:t>79,900,001.18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S-28 of this prospectus supplement for additional information regarding underwriting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3,400,000 ordinary shares from us at the public offering price, less underwriting discounts and commissions, within 30 days from the date of the final prospectus supplement.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underwriters expect to deliver the shares to purchasers on or about June 17, 2026.</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passed upon the accuracy or adequacy of this prospectus supplement or the accompanying prospectus. Any representation to the contrary is a criminal offense.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14" w:lineRule="exact"/>
        <w:rPr>
          <w:sz w:val="20"/>
          <w:szCs w:val="20"/>
          <w:color w:val="auto"/>
        </w:rPr>
      </w:pPr>
    </w:p>
    <w:p>
      <w:pPr>
        <w:spacing w:after="0"/>
        <w:tabs>
          <w:tab w:leader="none" w:pos="5220" w:val="left"/>
          <w:tab w:leader="none" w:pos="10040" w:val="left"/>
        </w:tabs>
        <w:rPr>
          <w:sz w:val="20"/>
          <w:szCs w:val="20"/>
          <w:color w:val="auto"/>
        </w:rPr>
      </w:pP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2"/>
          <w:szCs w:val="22"/>
          <w:b w:val="1"/>
          <w:bCs w:val="1"/>
          <w:color w:val="auto"/>
        </w:rPr>
        <w:t>Jefferies</w:t>
      </w:r>
      <w:r>
        <w:rPr>
          <w:sz w:val="20"/>
          <w:szCs w:val="20"/>
          <w:color w:val="auto"/>
        </w:rPr>
        <w:tab/>
      </w:r>
      <w:r>
        <w:rPr>
          <w:rFonts w:ascii="Times New Roman" w:cs="Times New Roman" w:eastAsia="Times New Roman" w:hAnsi="Times New Roman"/>
          <w:sz w:val="21"/>
          <w:szCs w:val="21"/>
          <w:b w:val="1"/>
          <w:bCs w:val="1"/>
          <w:color w:val="auto"/>
        </w:rPr>
        <w:t>Evercore ISI</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80" w:type="dxa"/>
            <w:vAlign w:val="bottom"/>
            <w:gridSpan w:val="8"/>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40" w:type="dxa"/>
            <w:vAlign w:val="bottom"/>
          </w:tcPr>
          <w:p>
            <w:pPr>
              <w:spacing w:after="0"/>
              <w:rPr>
                <w:sz w:val="20"/>
                <w:szCs w:val="20"/>
                <w:color w:val="auto"/>
              </w:rPr>
            </w:pPr>
          </w:p>
        </w:tc>
      </w:tr>
      <w:tr>
        <w:trPr>
          <w:trHeight w:val="43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30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w:t>
            </w:r>
          </w:p>
        </w:tc>
      </w:tr>
      <w:tr>
        <w:trPr>
          <w:trHeight w:val="412"/>
        </w:trPr>
        <w:tc>
          <w:tcPr>
            <w:tcW w:w="330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PROSPECTUS SUPPLEMENT SUMMARY</w:t>
            </w:r>
          </w:p>
        </w:tc>
        <w:tc>
          <w:tcPr>
            <w:tcW w:w="140" w:type="dxa"/>
            <w:vAlign w:val="bottom"/>
            <w:tcBorders>
              <w:top w:val="single" w:sz="8" w:color="0000EE"/>
            </w:tcBorders>
          </w:tcPr>
          <w:p>
            <w:pPr>
              <w:spacing w:after="0"/>
              <w:rPr>
                <w:sz w:val="24"/>
                <w:szCs w:val="24"/>
                <w:color w:val="auto"/>
              </w:rPr>
            </w:pPr>
          </w:p>
        </w:tc>
        <w:tc>
          <w:tcPr>
            <w:tcW w:w="4760" w:type="dxa"/>
            <w:vAlign w:val="bottom"/>
            <w:gridSpan w:val="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412"/>
        </w:trPr>
        <w:tc>
          <w:tcPr>
            <w:tcW w:w="12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940" w:type="dxa"/>
            <w:vAlign w:val="bottom"/>
            <w:gridSpan w:val="25"/>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S-7</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412"/>
        </w:trPr>
        <w:tc>
          <w:tcPr>
            <w:tcW w:w="534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60" w:type="dxa"/>
            <w:vAlign w:val="bottom"/>
            <w:gridSpan w:val="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412"/>
        </w:trPr>
        <w:tc>
          <w:tcPr>
            <w:tcW w:w="14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CAPITALIZATION</w:t>
            </w:r>
          </w:p>
        </w:tc>
        <w:tc>
          <w:tcPr>
            <w:tcW w:w="100" w:type="dxa"/>
            <w:vAlign w:val="bottom"/>
            <w:tcBorders>
              <w:top w:val="single" w:sz="8" w:color="0000EE"/>
            </w:tcBorders>
          </w:tcPr>
          <w:p>
            <w:pPr>
              <w:spacing w:after="0"/>
              <w:rPr>
                <w:sz w:val="24"/>
                <w:szCs w:val="24"/>
                <w:color w:val="auto"/>
              </w:rPr>
            </w:pPr>
          </w:p>
        </w:tc>
        <w:tc>
          <w:tcPr>
            <w:tcW w:w="6620" w:type="dxa"/>
            <w:vAlign w:val="bottom"/>
            <w:gridSpan w:val="21"/>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S-16</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DILUTION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49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MATERIAL LUXEMBOURG INCOME TAX CONSIDERATIONS</w:t>
            </w:r>
          </w:p>
        </w:tc>
        <w:tc>
          <w:tcPr>
            <w:tcW w:w="3220" w:type="dxa"/>
            <w:vAlign w:val="bottom"/>
            <w:gridSpan w:val="6"/>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S-18</w:t>
            </w:r>
          </w:p>
        </w:tc>
      </w:tr>
      <w:tr>
        <w:trPr>
          <w:trHeight w:val="412"/>
        </w:trPr>
        <w:tc>
          <w:tcPr>
            <w:tcW w:w="48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3320" w:type="dxa"/>
            <w:vAlign w:val="bottom"/>
            <w:gridSpan w:val="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S-23</w:t>
            </w:r>
          </w:p>
        </w:tc>
      </w:tr>
      <w:tr>
        <w:trPr>
          <w:trHeight w:val="412"/>
        </w:trPr>
        <w:tc>
          <w:tcPr>
            <w:tcW w:w="1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UNDERWRITING</w:t>
            </w:r>
          </w:p>
        </w:tc>
        <w:tc>
          <w:tcPr>
            <w:tcW w:w="6800" w:type="dxa"/>
            <w:vAlign w:val="bottom"/>
            <w:gridSpan w:val="2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S-28</w:t>
            </w:r>
          </w:p>
        </w:tc>
      </w:tr>
      <w:tr>
        <w:trPr>
          <w:trHeight w:val="412"/>
        </w:trPr>
        <w:tc>
          <w:tcPr>
            <w:tcW w:w="31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CONCURRENT PRIVATE PLACEMENT</w:t>
            </w:r>
          </w:p>
        </w:tc>
        <w:tc>
          <w:tcPr>
            <w:tcW w:w="5080" w:type="dxa"/>
            <w:vAlign w:val="bottom"/>
            <w:gridSpan w:val="11"/>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S-36</w:t>
            </w:r>
          </w:p>
        </w:tc>
      </w:tr>
      <w:tr>
        <w:trPr>
          <w:trHeight w:val="412"/>
        </w:trPr>
        <w:tc>
          <w:tcPr>
            <w:tcW w:w="1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MATERIAL CHANGES</w:t>
            </w:r>
          </w:p>
        </w:tc>
        <w:tc>
          <w:tcPr>
            <w:tcW w:w="6380" w:type="dxa"/>
            <w:vAlign w:val="bottom"/>
            <w:gridSpan w:val="20"/>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S-37</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w w:val="99"/>
              </w:rPr>
              <w:t>SERVICE OF PROCESS AND ENFORCEMENT OF CIVIL LIABILITIES UNDER U.S. SECURITIES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S-37</w:t>
            </w:r>
          </w:p>
        </w:tc>
      </w:tr>
      <w:tr>
        <w:trPr>
          <w:trHeight w:val="412"/>
        </w:trPr>
        <w:tc>
          <w:tcPr>
            <w:tcW w:w="816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412"/>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6"/>
          </w:tcPr>
          <w:p>
            <w:pPr>
              <w:spacing w:after="0"/>
              <w:rPr>
                <w:sz w:val="24"/>
                <w:szCs w:val="24"/>
                <w:color w:val="auto"/>
              </w:rPr>
            </w:pPr>
          </w:p>
        </w:tc>
        <w:tc>
          <w:tcPr>
            <w:tcW w:w="6740" w:type="dxa"/>
            <w:vAlign w:val="bottom"/>
            <w:gridSpan w:val="2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S-40</w:t>
            </w:r>
          </w:p>
        </w:tc>
      </w:tr>
      <w:tr>
        <w:trPr>
          <w:trHeight w:val="453"/>
        </w:trPr>
        <w:tc>
          <w:tcPr>
            <w:tcW w:w="518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020" w:type="dxa"/>
            <w:vAlign w:val="bottom"/>
            <w:gridSpan w:val="5"/>
          </w:tcPr>
          <w:p>
            <w:pPr>
              <w:spacing w:after="0"/>
              <w:rPr>
                <w:sz w:val="24"/>
                <w:szCs w:val="24"/>
                <w:color w:val="auto"/>
              </w:rPr>
            </w:pPr>
          </w:p>
        </w:tc>
        <w:tc>
          <w:tcPr>
            <w:tcW w:w="30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2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
              <w:r>
                <w:rPr>
                  <w:rFonts w:ascii="Times New Roman" w:cs="Times New Roman" w:eastAsia="Times New Roman" w:hAnsi="Times New Roman"/>
                  <w:sz w:val="18"/>
                  <w:szCs w:val="18"/>
                  <w:color w:val="0000EE"/>
                  <w:w w:val="99"/>
                </w:rPr>
                <w:t>ABOUT THIS PROSPECTUS</w:t>
              </w:r>
            </w:hyperlink>
          </w:p>
        </w:tc>
        <w:tc>
          <w:tcPr>
            <w:tcW w:w="5960" w:type="dxa"/>
            <w:vAlign w:val="bottom"/>
            <w:gridSpan w:val="15"/>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412"/>
        </w:trPr>
        <w:tc>
          <w:tcPr>
            <w:tcW w:w="2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PROSPECTUS SUMMARY</w:t>
              </w:r>
            </w:hyperlink>
          </w:p>
        </w:tc>
        <w:tc>
          <w:tcPr>
            <w:tcW w:w="6100" w:type="dxa"/>
            <w:vAlign w:val="bottom"/>
            <w:gridSpan w:val="1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2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14">
              <w:r>
                <w:rPr>
                  <w:rFonts w:ascii="Times New Roman" w:cs="Times New Roman" w:eastAsia="Times New Roman" w:hAnsi="Times New Roman"/>
                  <w:sz w:val="18"/>
                  <w:szCs w:val="18"/>
                  <w:color w:val="0000EE"/>
                  <w:w w:val="97"/>
                </w:rPr>
                <w:t>RISK FACTORS</w:t>
              </w:r>
            </w:hyperlink>
          </w:p>
        </w:tc>
        <w:tc>
          <w:tcPr>
            <w:tcW w:w="6940" w:type="dxa"/>
            <w:vAlign w:val="bottom"/>
            <w:gridSpan w:val="25"/>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8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8"/>
              </w:rPr>
            </w:pPr>
            <w:hyperlink r:id="rId15">
              <w:r>
                <w:rPr>
                  <w:rFonts w:ascii="Times New Roman" w:cs="Times New Roman" w:eastAsia="Times New Roman" w:hAnsi="Times New Roman"/>
                  <w:sz w:val="18"/>
                  <w:szCs w:val="18"/>
                  <w:color w:val="0000EE"/>
                  <w:w w:val="98"/>
                </w:rPr>
                <w:t>CAUTIONARY NOTE REGARDING FORWARD-LOOKING STATEMENTS</w:t>
              </w:r>
            </w:hyperlink>
          </w:p>
        </w:tc>
        <w:tc>
          <w:tcPr>
            <w:tcW w:w="2400" w:type="dxa"/>
            <w:vAlign w:val="bottom"/>
            <w:gridSpan w:val="2"/>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8200" w:type="dxa"/>
            <w:vAlign w:val="bottom"/>
            <w:gridSpan w:val="30"/>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OFFER AND LISTING DETAILS</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5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USE OF PROCEEDS</w:t>
              </w:r>
            </w:hyperlink>
          </w:p>
        </w:tc>
        <w:tc>
          <w:tcPr>
            <w:tcW w:w="5680" w:type="dxa"/>
            <w:vAlign w:val="bottom"/>
            <w:gridSpan w:val="1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30"/>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DESCRIPTION OF SHARE CAPITAL AND ARTICLES OF ASSOCIATION</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304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DESCRIPTION OF DEBT SECURITIES</w:t>
              </w:r>
            </w:hyperlink>
          </w:p>
        </w:tc>
        <w:tc>
          <w:tcPr>
            <w:tcW w:w="2660" w:type="dxa"/>
            <w:vAlign w:val="bottom"/>
            <w:tcBorders>
              <w:top w:val="single" w:sz="8" w:color="0000EE"/>
            </w:tcBorders>
            <w:gridSpan w:val="9"/>
          </w:tcPr>
          <w:p>
            <w:pPr>
              <w:spacing w:after="0"/>
              <w:rPr>
                <w:sz w:val="24"/>
                <w:szCs w:val="24"/>
                <w:color w:val="auto"/>
              </w:rPr>
            </w:pPr>
          </w:p>
        </w:tc>
        <w:tc>
          <w:tcPr>
            <w:tcW w:w="2500" w:type="dxa"/>
            <w:vAlign w:val="bottom"/>
            <w:gridSpan w:val="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8200" w:type="dxa"/>
            <w:vAlign w:val="bottom"/>
            <w:gridSpan w:val="30"/>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DESCRIPTION OF WARRANTS</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24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DESCRIPTION OF RIGHTS</w:t>
              </w:r>
            </w:hyperlink>
          </w:p>
        </w:tc>
        <w:tc>
          <w:tcPr>
            <w:tcW w:w="5720" w:type="dxa"/>
            <w:vAlign w:val="bottom"/>
            <w:gridSpan w:val="1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21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DESCRIPTION OF UNITS</w:t>
              </w:r>
            </w:hyperlink>
          </w:p>
        </w:tc>
        <w:tc>
          <w:tcPr>
            <w:tcW w:w="6060" w:type="dxa"/>
            <w:vAlign w:val="bottom"/>
            <w:gridSpan w:val="16"/>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r:id="rId23">
              <w:r>
                <w:rPr>
                  <w:rFonts w:ascii="Times New Roman" w:cs="Times New Roman" w:eastAsia="Times New Roman" w:hAnsi="Times New Roman"/>
                  <w:sz w:val="18"/>
                  <w:szCs w:val="18"/>
                  <w:color w:val="0000EE"/>
                  <w:w w:val="96"/>
                </w:rPr>
                <w:t>TAXATION</w:t>
              </w:r>
            </w:hyperlink>
          </w:p>
        </w:tc>
        <w:tc>
          <w:tcPr>
            <w:tcW w:w="1100" w:type="dxa"/>
            <w:vAlign w:val="bottom"/>
            <w:tcBorders>
              <w:top w:val="single" w:sz="8" w:color="0000EE"/>
            </w:tcBorders>
            <w:gridSpan w:val="7"/>
          </w:tcPr>
          <w:p>
            <w:pPr>
              <w:spacing w:after="0"/>
              <w:rPr>
                <w:sz w:val="24"/>
                <w:szCs w:val="24"/>
                <w:color w:val="auto"/>
              </w:rPr>
            </w:pPr>
          </w:p>
        </w:tc>
        <w:tc>
          <w:tcPr>
            <w:tcW w:w="6180" w:type="dxa"/>
            <w:vAlign w:val="bottom"/>
            <w:gridSpan w:val="1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2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PLAN OF DISTRIBUTION</w:t>
              </w:r>
            </w:hyperlink>
          </w:p>
        </w:tc>
        <w:tc>
          <w:tcPr>
            <w:tcW w:w="6140" w:type="dxa"/>
            <w:vAlign w:val="bottom"/>
            <w:gridSpan w:val="18"/>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EXPENSES</w:t>
              </w:r>
            </w:hyperlink>
          </w:p>
        </w:tc>
        <w:tc>
          <w:tcPr>
            <w:tcW w:w="7300" w:type="dxa"/>
            <w:vAlign w:val="bottom"/>
            <w:gridSpan w:val="2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82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SERVICE OF PROCESS AND ENFORCEMENT OF CIVIL LIABILITIES UNDER U.S. SECURITIES LAWS</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240"/>
          </w:cols>
          <w:pgMar w:left="320" w:top="117"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5"/>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LEGAL MATTERS</w:t>
              </w:r>
            </w:hyperlink>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7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tcPr>
          <w:p>
            <w:pPr>
              <w:spacing w:after="0"/>
              <w:rPr>
                <w:sz w:val="24"/>
                <w:szCs w:val="24"/>
                <w:color w:val="auto"/>
              </w:rPr>
            </w:pPr>
          </w:p>
        </w:tc>
        <w:tc>
          <w:tcPr>
            <w:tcW w:w="2760" w:type="dxa"/>
            <w:vAlign w:val="bottom"/>
            <w:gridSpan w:val="3"/>
          </w:tcPr>
          <w:p>
            <w:pPr>
              <w:spacing w:after="0"/>
              <w:rPr>
                <w:sz w:val="24"/>
                <w:szCs w:val="24"/>
                <w:color w:val="auto"/>
              </w:rPr>
            </w:pPr>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4220" w:type="dxa"/>
            <w:vAlign w:val="bottom"/>
            <w:gridSpan w:val="5"/>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WHERE YOU CAN FIND MORE INFORMATION</w:t>
              </w:r>
            </w:hyperlink>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8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r>
      <w:tr>
        <w:trPr>
          <w:trHeight w:val="412"/>
        </w:trPr>
        <w:tc>
          <w:tcPr>
            <w:tcW w:w="4220" w:type="dxa"/>
            <w:vAlign w:val="bottom"/>
            <w:gridSpan w:val="5"/>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INFORMATION INCORPORATED BY REFERENCE</w:t>
              </w:r>
            </w:hyperlink>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7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23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4220" w:type="dxa"/>
            <w:vAlign w:val="bottom"/>
          </w:tcPr>
          <w:p>
            <w:pPr>
              <w:spacing w:after="0"/>
              <w:rPr>
                <w:sz w:val="20"/>
                <w:szCs w:val="20"/>
                <w:color w:val="auto"/>
              </w:rPr>
            </w:pPr>
          </w:p>
        </w:tc>
      </w:tr>
      <w:tr>
        <w:trPr>
          <w:trHeight w:val="284"/>
        </w:trPr>
        <w:tc>
          <w:tcPr>
            <w:tcW w:w="78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236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2800" w:type="dxa"/>
            <w:vAlign w:val="bottom"/>
            <w:tcBorders>
              <w:bottom w:val="single" w:sz="8" w:color="C0C0C0"/>
            </w:tcBorders>
          </w:tcPr>
          <w:p>
            <w:pPr>
              <w:spacing w:after="0"/>
              <w:rPr>
                <w:sz w:val="24"/>
                <w:szCs w:val="24"/>
                <w:color w:val="auto"/>
              </w:rPr>
            </w:pPr>
          </w:p>
        </w:tc>
        <w:tc>
          <w:tcPr>
            <w:tcW w:w="42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document is part of the registration statement that we filed with the SEC using a “shelf” registration process and consists of two parts. The first part is this prospectus supplement, including the documents incorporated by reference, which describes the specific terms of this offering and also adds to and updates information contained in the accompanying prospectus. The second part, the accompanying prospectus, including the documents incorporated by reference, gives more general information, some of which may not be applicable to this offering. Generally, when we refer to the “prospectus” we are referring to both parts combined.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that you should know before investing in our securities. You should also read and consider information in the documents we have referred you to in the sections of this prospectus supplement and the accompanying prospectus entitled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any securities. Our business, financial condition, liquidity, results of operations and prospects may have changed since those dates.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and are incorporated herein by reference, and you may obtain copies of those documents as described below under the sections entitled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and the underwriters are not, making offers to sell or solicitations of offers to buy our securities in any jurisdiction in which an offer or solicitation is not permitted or in which the person making that offer or solicitation is not qualified to do so or to anyone to whom it is unlawful to make an offer or solicitation.</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Neither we nor any of the underwriters have done anything that would permit this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includes our trademarks and trade names, including, without limitation, HUKYNDRA, SIMLANDI, SELARSDI, UZPRUVO, JAMTEKI, USTEKINUMAB BS (F), XBONZA, OSSVI, ZVOGRA, KEFDENSIS, DENOSUMAB BS, GOBIVAZ, GOLIMUMAB BS, MYNZEPLI, AFIVEG, AFLIBERCEPT BS and our logo, which are our property and are protected under applicable intellectual property laws. This prospectus supplement also contains trademarks, trade names and service marks of other companies, which are the property of their respective owners. Solely for convenience, trademarks, trade names and service marks referred to in this prospectus supplement may appear without the ®, ™ or SM symbols, but such references are not intended</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supplement to “Alvotech,” “the company,” “our company,” “we,” “us” and “our” refer to Alvotech and our consolidated subsidiaries.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697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extLst>
                    </a:blip>
                    <a:srcRect/>
                    <a:stretch>
                      <a:fillRect/>
                    </a:stretch>
                  </pic:blipFill>
                  <pic:spPr bwMode="auto">
                    <a:xfrm>
                      <a:off x="0" y="0"/>
                      <a:ext cx="7136130" cy="669734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does not contain all of the information that you need to consider in making your investment decision. Before making an investment decision, you should read this entire prospectus supplement and the accompanying prospectus carefully, especially “Risk Factors” and the financial statements and related notes thereto, together with the additional information about us described in the sections entitled “Where You Can Find More Information” and “Incorporation of Certain Information by Reference,” and the documents incorporated by reference in this prospectus supplement. Each of the risk factors could adversely affect our business, operating results and financial condition, as well as adversely affect the value of an investment in our securities. Some of the statements in this prospectus supplement constitute forward-looking statements that involve risks and uncertainties. See “Special Note Regarding Forward-Looking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vertically integrated biotechnology company focused solely on the development and manufacture of biosimilar medicines for patients worldwide. A biosimilar is a biological medicine made with living cells, taken from plants, animals or bacteria, that is highly similar to and has no clinically meaningful differences from an existing approved biological, or reference product. Much as generics do for off-patent small-molecule drugs, biosimilars provide a cost-effective alternative with no clinically meaningful difference to biologic medicines whose patent exclusivity has expired. Many patient, policy, industry and regulatory organizations share our view that the availability of quality, affordable biosimilars is critical to the long-term sustainability of health systems and medical innovation globally. Cost savings generated by biosimilars can be used to treat more people and to sustain the cost of investment in the next generations of innovative therapies.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aim to improve the health and quality of life of patients around the world, broadening the availability and accessibility of biosimilars by becoming a leading supplier of biosimilars globally. To do this, we have invested over $2 billion to build a comprehensive platform for developing and manufacturing biosimilars at scale. Our vertically integrated platform is designed to enable us to execute the product development and scale-up process in-house: from identifying therapeutic areas and target product candidates with significant unmet patient and market need through research and development, leveraging gold-standard host cell lines, cell-culture processes and Good Manufacturing Practices (“cGMP”) manufacturing, clinical testing, and regulatory approvals. In order to give our products global reach with local expertise, we have formed strategic commercialization partnerships with leading pharmaceutical companies covering global markets. We license our biosimilars intellectual property to our commercialization partners in exchange for development and commercialization milestone payments and royalties on sales.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Developing and manufacturing biosimilars is a time-consuming, capital intensive, complex and historically uncertain undertaking. We currently have five commercialized products approved in major markets: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AVT02, our biosimilar to Humira (adalimumab), has been approved in various major markets including the United States, Canada, the United Kingdom and the European Economic Area. Adalimumab is a tumor necrosis factor (“TNF”)-alpha inhibitor, and is indicated for patients with Rheumatoid Arthritis, Psoriatic Arthritis, Ankylosing Spondylitis, Ulcerative Colitis and Crohn’s Disease. AVT02 is the second largest biosimilar in the United States with a 10% market share of biosimilars.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AVT04, our biosimilar to Stelara (ustekinumab), has been approved for marketing in various major markets including the United States, Canada, the United Kingdom, the European Economic Area and Japan. Ustekinumab is a human interleukin (“IL”)-12 and IL-13 antagonist, and is indicated for patients with Plaque Psoriasis, Psoriatic Arthritis, Crohn’s Disease and Ulcerative Colitis. AVT04 has achieved a 20% market share of biosimilars in Europe.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AVT05 is our biosimilar to Simponi (golimumab) and biosimilar candidate for Simponi Aria (golimumab). Our biosimilar to Simponi (golimumab) has been approved for marketing in the United Kingdom, the European Economic Area and Japan. Golimumab is a TNF inhibitor indicated for the treatment of patients with Rheumatoid Arthritis, Psoriatic Arthritis, Ankylosing Spondylitis and Ulcerative Colitis. Simponi refers to the originator biologic in a prefilled syringe or autoinjector presentation, while Simponi Aria refers to the originator biologic in a vial presentation.</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06" w:right="539" w:bottom="1440" w:gutter="0" w:footer="0" w:header="0"/>
        </w:sectPr>
      </w:pPr>
    </w:p>
    <w:bookmarkStart w:id="7" w:name="page8"/>
    <w:bookmarkEnd w:id="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011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extLst>
                    </a:blip>
                    <a:srcRect/>
                    <a:stretch>
                      <a:fillRect/>
                    </a:stretch>
                  </pic:blipFill>
                  <pic:spPr bwMode="auto">
                    <a:xfrm>
                      <a:off x="0" y="0"/>
                      <a:ext cx="7136130" cy="6011545"/>
                    </a:xfrm>
                    <a:prstGeom prst="rect">
                      <a:avLst/>
                    </a:prstGeom>
                    <a:noFill/>
                  </pic:spPr>
                </pic:pic>
              </a:graphicData>
            </a:graphic>
          </wp:anchor>
        </w:drawing>
        <w:t>AVT06, our biosimilar to Eylea (aflibercept), has been approved for marketing in the United Kingdom, the European Economic Area and Japan. Aflibercept is a vascular endothelial growth factor inhibitor indicated for the treatment of patients with Neovascular (Wet) Age-Related Macular Degeneration, Macular Edema following Retinal Vein Occlusion, Diabetic Macular Edema and Diabetic Retinopathy. We have also enrolled the first patients in a pivotal clinical study of AVT29 (a proposed biosimilar to Eylea HD (aflibercept 8 mg) and anticipate making regulatory submissions in 2026.</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AVT03, our biosimilar to Prolia and Xgeva, both of which contain denosumab, has been approved in the United Kingdom, the European Economic Area and Japan. Denosumab is a RANK ligand inhibitor. Prolia refers to the originator in a pre-filled syringe and Xgeva refers to the originator in a single-dose vial presentation. Prolia is indicated for the treatment of postmenopausal women and men with osteoporosis at a high risk for fracture, glucocorticoid-induced osteoporosis in men and women at high risk for fracture, and to increase bone mass in men and women at high risk for fracture receiving therapy for cancer while Xgeva is indicated for the prevention of skeletal-related events in patients with multiple myeloma and in patients with bone metastases from solid tumors, treatment of hypercalcemia of malignancy refractory to bisphosphonate therapy as well as for the treatment of adults and skeletally mature adolescents with giant cell tumor of bone.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Market Opportunities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built what we believe to be one of the most valuable biosimilars development pipelines in the industry, comprising more than 30 biosimilar candidates spanning major therapeutic areas, including immunology, oncology, ophthalmology, bone disease, respiratory and hematology, with seven disclosed candidates in early phase development, more than 20 undisclosed programs in early phase development, and late-stage candidate approvals expected through 2026 to 2029.</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our pipeline of more than 30 biosimilar candidates addresses a total addressable market of over $185 billion, based on the combined estimated peak global sales of the relevant originator reference products. The long-term market opportunity for biosimilars is underpinned by several structural tailwinds. According to a survey conducted by the IQVIA Institute in February 2025, 118 biologics are expected to lose patent protection by 2034, and approximately 60% of phase 2 and phase 3 assets are potential biologic medicines. Biologics represent an increasing share of the global pharmaceutical market, growing at a 14% CAGR compared to 5% for non-biologics, with their share of the worldwide market rising from 34% in 2021 to 42% in 2025 as the overall market grew from approximately $1.3 trillion to $1.8 trillion. Within the biosimilars segment specifically, complex biosimilar units are growing at 17%, driven primarily by immunology (53% of units in 2025) and oncology (28%). Geographically, the European Union currently leads the global biosimilar market in adoption, accounting for 47% of complex biosimilar units compared to 37% for the United States. At the same time, the United States and European Union together account for approximately 85% of the global biologics market, comprising both originator biologics and biosimilars, representing a combined $740 billion market, with the U.S. comprising 65% and the EU 21%.</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Within our pipeline, we believe individual biosimilar candidates target some of the most valuable biologic markets globally, with notable addressable markets including approximately $36 billion for AVT32 (a proposed biosimilar to Keytruda® (pembrolizumab)), $6.7 billion for AVT16/AVT80 (a proposed biosimilar to Entyvio® (vedolizumab)), and $3.5 billion for AVT29 (a proposed biosimilar to Eylea HD® (aflibercept 8 mg)), in each case based on the estimated peak global sales of the relevant originator reference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FUJIFILM Biotechnologies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May 2026, we announced a strategic manufacturing agreement with FUJIFILM Biotechnologies covering multiple products in our portfolio.</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68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7136130" cy="8368665"/>
                    </a:xfrm>
                    <a:prstGeom prst="rect">
                      <a:avLst/>
                    </a:prstGeom>
                    <a:noFill/>
                  </pic:spPr>
                </pic:pic>
              </a:graphicData>
            </a:graphic>
          </wp:anchor>
        </w:drawing>
        <w:t>Clinical Update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fourth quarter of 2025, we and our partner received Complete Response Letters (“CRLs”) from the U.S. Food and Drug Administration (“FDA”) regarding our Biologics License Applications (“BLAs” ) for AVT05, AVT06, and AVT03. The CRLs all stated that the FDA had identified deficiencies related to our Reykjavik manufacturing facility following the FDA’s pre-license inspection in July 2025, which must be satisfactorily resolved before these BLAs may be approved. On May 11, 2026, we announced that the FDA completed a routine cGMP surveillance inspection of our manufacturing facility in Reykjavik, Iceland. At the conclusion of the inspection on May 8, 2026, the FDA issued a Form 483.</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a partnership with Teva Pharmaceutical Industries Ltd. (“Teva”), we are responsible for the development and manufacturing of AVT05 and AVT06, while Teva is responsible for commercialization. On June 4, 2026, we announced the resubmission to the FDA of BLAs for AVT05 and AVT06. AVT03 is partnered with Dr. Reddy’s Laboratories Ltd., which, as applicant, was responsible for the U.S. regulatory submission.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resubmissions follow the submission of our response to the FDA’s Post-Application Action Letter (PAAL) related to our Reykjavik manufacturing facility. In addition, we have submitted responses to observations from a routine cGMP surveillance FDA inspection at the facility, completed in May 2026, and have continued to strengthen our quality systems and manufacturing operations as part of our ongoing enhancement program.</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the FDA to conduct a six-month review of the resubmitted applications, consistent with the applicable regulatory timelines.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on June 8, 2026, we announced that our BLA for AVT16 has been accepted for review by the FDA. Under a partnership with Teva, we are responsible for development and manufacturing of AVT16, while Teva is responsible for commercialization. We expect a review period of up to 12 months from the date of submission of the BLA. Previously, the European Medicines Agency (EMA) validated our Marketing Authorization Application for AVT16/AVT80 in the European Economic Area.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Suspension of At-the-Market Program</w:t>
      </w:r>
    </w:p>
    <w:p>
      <w:pPr>
        <w:spacing w:after="0" w:line="22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 xml:space="preserve">On June 15, 2026, we notified Jefferies LLC that we were suspending our use of and terminating the prospectus supplement (the “ATM Prospectus Supplement”), related to the potential issuance from time to time of our ordinary shares pursuant to the </w:t>
      </w:r>
      <w:r>
        <w:rPr>
          <w:rFonts w:ascii="Times New Roman" w:cs="Times New Roman" w:eastAsia="Times New Roman" w:hAnsi="Times New Roman"/>
          <w:sz w:val="18"/>
          <w:szCs w:val="18"/>
          <w:color w:val="auto"/>
          <w:highlight w:val="white"/>
        </w:rPr>
        <w:t>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dated June 14, 2024, by and between us and Jefferies LLC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We will not make any sales of our securities pursuant to the Sales Agreement unless and until a new prospectus supplement or a new registration statement is filed. Other than the termination of the ATM Prospectus Supplement, the Sales Agreement remains in full force and effect.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16, 2026, we entered into agreements with certain investors in the European Economic Area pursuant to which the investors have agreed to subscribe to an aggregate of 17,826,666 of our ordinary shares in the concurrent private placement, at the public offering price of our ordinary shares in the public offering, for gross proceeds to us of approximately $66.85 million. The shares will be offered solely to professional clients or eligible counterparties falling within article 1(4) of Regulation (EU) 2017/1129.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one of the agreements, we have granted registration rights to one investor in the concurrent private placement (the “Registration Rights Investor”). Specifically, the Registration Rights Investor may, at any time and from time to time, make a written demand for registration under the Securities Act of all or any portion of its subscription shares on any available form of registration statement (a “Demand Registration”), including by way of an underwritten offering with underwriters selected by the Registration Rights Investor and reasonably acceptable to us. We are obligated, using our reasonable best efforts and as expeditiously as possible after receipt of such demand, to prepare and file with the SEC a registration statement covering the resale of the shares and to keep such registration statement effective until all such shares have been disposed of or withdrawn. We are not obligated to effect more than two (2) Demand Registrations in total. We have the right to defer any Demand Registration for up to 60 days in total, or 30 consecutive days, in any 12-month period if our Board of Directors determines in good faith that effecting the registration at that time would be materially detrimental to us and our shareholders. All costs and expenses incurred in connection with a Demand Registration are to be borne by us. We have also agreed to provide certain customary indemnifications to the Registration Rights Investor.</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“Concurrent Private Placement” for more information regarding the concurrent private placement and these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is a public limited liability company (société anonyme) incorporated under the laws of the Grand Duchy of Luxembourg on August 23, 2021, having its registered office at 9, Rue de Bitbourg L-1273 Luxembourg, Grand Duchy of Luxembourg and registered with the Luxembourg Trade and Company Register (Registre de Commerce et</w:t>
      </w:r>
    </w:p>
    <w:p>
      <w:pPr>
        <w:sectPr>
          <w:pgSz w:w="11900" w:h="16838" w:orient="portrait"/>
          <w:cols w:equalWidth="0" w:num="1">
            <w:col w:w="10840"/>
          </w:cols>
          <w:pgMar w:left="520" w:top="306" w:right="539" w:bottom="1440" w:gutter="0" w:footer="0" w:header="0"/>
        </w:sect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06" w:right="539" w:bottom="1440" w:gutter="0" w:footer="0" w:header="0"/>
          <w:type w:val="continuous"/>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777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7136130" cy="4777105"/>
                    </a:xfrm>
                    <a:prstGeom prst="rect">
                      <a:avLst/>
                    </a:prstGeom>
                    <a:noFill/>
                  </pic:spPr>
                </pic:pic>
              </a:graphicData>
            </a:graphic>
          </wp:anchor>
        </w:drawing>
        <w:t>des Sociétés, Luxembourg) under number B258884. Our agent for service of process in the United States is Alvotech USA Inc., 1602 Village Market Blvd., Suite 280, Leesburg, Virginia 20175.</w:t>
      </w:r>
    </w:p>
    <w:p>
      <w:pPr>
        <w:spacing w:after="0" w:line="162" w:lineRule="exact"/>
        <w:rPr>
          <w:sz w:val="20"/>
          <w:szCs w:val="20"/>
          <w:color w:val="auto"/>
        </w:rPr>
      </w:pPr>
    </w:p>
    <w:p>
      <w:pPr>
        <w:jc w:val="both"/>
        <w:ind w:firstLine="373"/>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information statements and other information regarding issuers that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principal website address is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We do not incorporate the information contained on, or accessible through, our website into this prospectus supplement, and you should not consider it a part of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report under the U.S. Securities Exchange Act of 1934, as amended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Effective March 18, 2026, directors and officers (excluding principal shareholders) of foreign private issuers became subject to Section 16(a) of the Exchange Act, requiring reporting of equity ownership and transactions of our securities on Forms 3, 4 and 5, which eliminated the prior blanket exemption for such persons. However, pursuant to an order issued on March 5, 2026 by the SEC, directors and officers of certain foreign private issuers, including those subject to substantially comparable home jurisdiction reporting requirements, are exempt from Section 16(a) reporting. We qualify for this exemption, and therefore our directors and officers are not required to comply with Section 16(a) reporting obligations.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take advantage of these reporting exemptions until such time that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reduced burdens. We have taken advantage of reduced reporting requirements in this prospectus supplement and the documents incorporated in this prospectus supplement. Accordingly, the information contained in this prospectus supplement may be different from the information you receive from our competitors that are public companies, or other public companies in which you have made an investment.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permitted to follow certain Luxembourg corporate governance practices in lieu of certain listing rules of Nasdaq, or Nasdaq Listing Rules. Please see the section entitled “</w:t>
      </w:r>
      <w:r>
        <w:rPr>
          <w:rFonts w:ascii="Times New Roman" w:cs="Times New Roman" w:eastAsia="Times New Roman" w:hAnsi="Times New Roman"/>
          <w:sz w:val="18"/>
          <w:szCs w:val="18"/>
          <w:i w:val="1"/>
          <w:iCs w:val="1"/>
          <w:color w:val="auto"/>
        </w:rPr>
        <w:t>Item 16.G. Corporate Governance</w:t>
      </w:r>
      <w:r>
        <w:rPr>
          <w:rFonts w:ascii="Times New Roman" w:cs="Times New Roman" w:eastAsia="Times New Roman" w:hAnsi="Times New Roman"/>
          <w:sz w:val="18"/>
          <w:szCs w:val="18"/>
          <w:color w:val="auto"/>
        </w:rPr>
        <w:t>” incorporated by reference from our Annual Report for the year ended December 31, 2025, as well as any amendments thereto reflected in our subsequent filings with the SEC.</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10" w:name="page11"/>
    <w:bookmarkEnd w:id="10"/>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Option to purchase additional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Ordinary shares to be outstanding after the offering and the concurrent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markets</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-236855</wp:posOffset>
            </wp:positionV>
            <wp:extent cx="7136130" cy="6285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36130" cy="62858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22,666,667 ordinary shares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underwriters have a 30-day option to purchase up to 3,400,000 additional ordinary shares at the public offering price, less underwriting discounts and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price is $3.75 per ordinary share.</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June 16, 2026, we entered into agreements with certain investors in the European Economic Area pursuant to which the investors have agreed to subscribe to an aggregate of 17,826,666 of our ordinary shares in the concurrent private placement, at the public offering price of our ordinary shares in this offering, for gross proceeds to us of approximately $66.85 million. The shares will be offered solely to professional clients or eligible counterparties falling within article 1(4) of Regulation (EU) 2017/1129.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334,819,831 ordinary shares, or 338,219,831 ordinary shares if the underwriters exercise their option to purchase additional ordinary shares in full.</w:t>
      </w:r>
    </w:p>
    <w:p>
      <w:pPr>
        <w:spacing w:after="0" w:line="3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$79.21 million (or approximately $91.20 million if the underwriters’ option to purchase additional shares is exercised in full) from the issuance of our ordinary shares in this offering, after deducting underwriting discounts and commissions and estimated offering expenses payable by us. We estimate we will receive up to an additional approximately $64.51 million in net proceeds from the sale of our ordinary shares in the concurrent private placement.</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to fund the continued development of our biosimilar assets, as well as working capital and general corporate purposes, which may include, among others, intellectual property protection and enforcement, commercial expenditures, capital expenditures, acquisitions or collaborations, pre-clinical and clinical development of our product candidates, research and development and product development, pre-commercialization activities and repayment or refinancing of indebtedness or other corporate borrowings. See “Use of Proceeds” on page S-14 of this prospectus supplement.</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significant risks. See the information under the heading “Risk Factors” beginning on page S-7 of this prospectus supplement, on page 5 of the accompanying prospectus and in the documents incorporated by reference into this prospectus supplement for a discussion of factors you should carefully consider before deciding to invest in our ordinary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ordinary shares are traded on Nasdaq and Nasdaq Iceland Main Market under the symbol “ALVO.”</w:t>
      </w:r>
    </w:p>
    <w:p>
      <w:pPr>
        <w:spacing w:after="0" w:line="211" w:lineRule="exact"/>
        <w:rPr>
          <w:sz w:val="20"/>
          <w:szCs w:val="20"/>
          <w:color w:val="auto"/>
        </w:rPr>
      </w:pPr>
    </w:p>
    <w:p>
      <w:pPr>
        <w:sectPr>
          <w:pgSz w:w="11900" w:h="16838" w:orient="portrait"/>
          <w:cols w:equalWidth="0" w:num="2">
            <w:col w:w="3060" w:space="300"/>
            <w:col w:w="7480"/>
          </w:cols>
          <w:pgMar w:left="520" w:top="306" w:right="53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06" w:right="539" w:bottom="1440" w:gutter="0" w:footer="0" w:header="0"/>
          <w:type w:val="continuous"/>
        </w:sectPr>
      </w:pPr>
    </w:p>
    <w:bookmarkStart w:id="11" w:name="page12"/>
    <w:bookmarkEnd w:id="11"/>
    <w:p>
      <w:pPr>
        <w:ind w:firstLine="32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405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7136130" cy="3405505"/>
                    </a:xfrm>
                    <a:prstGeom prst="rect">
                      <a:avLst/>
                    </a:prstGeom>
                    <a:noFill/>
                  </pic:spPr>
                </pic:pic>
              </a:graphicData>
            </a:graphic>
          </wp:anchor>
        </w:drawing>
        <w:t>The number of ordinary shares outstanding after this offering and the concurrent private placement is based on 312,153,164 shares outstanding as of March 31, 2026 and excludes:</w:t>
      </w:r>
    </w:p>
    <w:p>
      <w:pPr>
        <w:spacing w:after="0" w:line="162" w:lineRule="exact"/>
        <w:rPr>
          <w:sz w:val="20"/>
          <w:szCs w:val="20"/>
          <w:color w:val="auto"/>
        </w:rPr>
      </w:pPr>
    </w:p>
    <w:p>
      <w:pPr>
        <w:ind w:left="640" w:hanging="315"/>
        <w:spacing w:after="0"/>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9,943,434 outstanding warrants to purchase ordinary shares at an exercise price of $11.50 per share as of March 31, 2026;</w:t>
      </w:r>
    </w:p>
    <w:p>
      <w:pPr>
        <w:spacing w:after="0" w:line="224"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4,308,239 ordinary shares issuable upon vesting of restricted stock units granted to certain employees, executive officers and directors under the Alvotech Management Incentive Plan as of March 31, 2026;</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265,241 ordinary shares issuable upon exercise of outstanding stock options granted to certain employees, executive officers and directors underthe Alvotech Management Incentive Plan as of March 31, 2026;</w:t>
      </w:r>
    </w:p>
    <w:p>
      <w:pPr>
        <w:spacing w:after="0" w:line="162" w:lineRule="exact"/>
        <w:rPr>
          <w:rFonts w:ascii="Arial" w:cs="Arial" w:eastAsia="Arial" w:hAnsi="Arial"/>
          <w:sz w:val="18"/>
          <w:szCs w:val="18"/>
          <w:b w:val="1"/>
          <w:bCs w:val="1"/>
          <w:color w:val="auto"/>
        </w:rPr>
      </w:pPr>
    </w:p>
    <w:p>
      <w:pPr>
        <w:ind w:left="640" w:hanging="315"/>
        <w:spacing w:after="0"/>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7,561,141 ordinary shares reserved for future issuance under the Alvotech Management Incentive Plan as of March 31, 2026;</w:t>
      </w:r>
    </w:p>
    <w:p>
      <w:pPr>
        <w:spacing w:after="0" w:line="224" w:lineRule="exact"/>
        <w:rPr>
          <w:rFonts w:ascii="Arial" w:cs="Arial" w:eastAsia="Arial" w:hAnsi="Arial"/>
          <w:sz w:val="18"/>
          <w:szCs w:val="18"/>
          <w:b w:val="1"/>
          <w:bCs w:val="1"/>
          <w:color w:val="auto"/>
        </w:rPr>
      </w:pPr>
    </w:p>
    <w:p>
      <w:pPr>
        <w:ind w:left="640" w:hanging="315"/>
        <w:spacing w:after="0"/>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19,165,000 ordinary shares issuable upon vesting of certain earn-out shares as of March 31, 2026; and</w:t>
      </w:r>
    </w:p>
    <w:p>
      <w:pPr>
        <w:spacing w:after="0" w:line="224"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shares issuable upon conversion of the 6.875% senior unsecured convertible bonds due December 22, 2030, with an initial conversion price of $5.9224 per share, under which $69.9 million aggregate principal amount was outstanding as of March 31, 2026.</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as otherwise noted, the information in this prospectus supplement assumes:</w:t>
      </w:r>
    </w:p>
    <w:p>
      <w:pPr>
        <w:spacing w:after="0" w:line="225"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exercise of warrants or vesting of equity awards subsequent to March 31, 2026; and</w:t>
      </w:r>
    </w:p>
    <w:p>
      <w:pPr>
        <w:spacing w:after="0" w:line="224" w:lineRule="exact"/>
        <w:rPr>
          <w:rFonts w:ascii="Arial" w:cs="Arial" w:eastAsia="Arial" w:hAnsi="Arial"/>
          <w:sz w:val="18"/>
          <w:szCs w:val="18"/>
          <w:b w:val="1"/>
          <w:bCs w:val="1"/>
          <w:color w:val="auto"/>
        </w:rPr>
      </w:pPr>
    </w:p>
    <w:p>
      <w:pPr>
        <w:ind w:left="640" w:hanging="315"/>
        <w:spacing w:after="0"/>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exercise of the underwriters’ option to purchase up to an additional 3,400,000 ordinary shares.</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You should carefully review the risks and uncertainties described below as well as those discussed under the section captioned “Item 3. Key Information—D. Risk Factors” contained in our Annual Report on Form 20-F for the year ended December 31, 2025, which is incorporated by reference into this prospectus supplement and the accompanying prospectus, in their entirety, together with other information in this prospectus supplement, the accompanying prospectus, the information and documents incorporated by reference herein and therein. The risks and uncertainties previously described and discussed below are not the only ones we face. Additional risks and uncertainties not presently known to us, or that we currently see as immaterial, may also harm our business. If any of these risks actually occurs, our business, financial condition, results of operation or cash flow could be adversely affected. This could cause the trading price of our ordinary shares to decline, resulting in a loss of all or part of your investment. Additional risks and uncertainties of which we are not presently aware or that we currently deem immaterial could also affect our business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the Concurrent Private Placement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ordinary shares in this offering, you will experience substantial and immediate dilution.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price of our ordinary shares in this offering may be substantially higher than the net tangible book value per share of our ordinary shares. Therefore, if you purchase ordinary shares stock in this offering, you will pay a price per share that substantially exceeds our net tangible book value per share after this offering and the concurrent private placement. Based on an offering price of $3.75 per ordinary share, you will experience immediate dilution of $4.52 per ordinary share, representing the difference between our as adjusted net tangible book value per share after giving effect to this offering and the concurrent private placement and the offering price. To the extent outstanding options or warrants are exercised, you will incur further dilution. See the section titled “Dilution” below for a more detailed illustration of the dilution you would incur if you purchase ordinary shares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the exercise of warrants or vesting of equity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offer additional ordinary shares or other securities convertible into or exchangeable for our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have issued warrants to purchase our ordinary shares and awarded equity awards under our Alvotech Management Incentive, which may result in the issuance of a substantial number of additional ordinary shares upon their exercise or vesting, which shares are eligible for, or may become eligible for, unrestricted resale. If the holders of outstanding warrants to acquire ordinary shares exercise those warrants at prices below the public offering price, you will incur further dilution.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issue additional securities convertible into or exchangeable for our ordinary shares in the future. Any sales of such shares in the public market or otherwise could reduce the prevailing market price of our ordinary shares, as well as make future sales of ordinary shares by us less attractive or not feasible, thus limiting our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by existing shareholders could depress the market price of the ordinary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directors, officers and certain of our shareholders have agreed with the underwriters not sell, or indicate an intent to sell, substantial amounts of ordinary shares in the public market for a period of 90 days following the date of this offering, subject to specified exceptions. After the 90-day contractual lock-up and other legal restrictions on resale discussed in this prospectus supplement lapse, the trading price of our ordinary shares could decline significantly and could decline below the offering price upon sale of our shares by these holders. Upon completion of this offering,</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number of ordinary shares outstanding as of March 31, 2026, we will have 334,819,831 outstanding ordinary shares, of which 202,503,688 will be subject to a contractual restriction on selling for up to 90 days, subject to customary exceptions. The underwriters may waive the lock-up agreements entered into in connection with this offering prior to the expiration thereof in their sole discretion. See “Underwriting.”</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will have broad discretion in the use of the net proceeds we receive in this offering and the concurrent private placement and might not apply the proceeds in ways that increase the value of your investment.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and board of directors will have broad discretion over the use of our net proceeds from this offering and the concurrent private placement, and you will be relying on their judgment regarding the application of these proceeds, which can be different from that contemplated as of the date of this prospectus supplement. Our management and board of directors might not apply our net proceeds in ways that ultimately increase the value of your investment and we might not be able to yield a significant return, if any, on any investment of these net proceeds. Our failure to apply these funds effectively could have a material adverse effect on our business, delay the development of our products and cause the price of our ordinary shares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ordinary shares are traded on more than one market and this may result in price variations.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ordinary shares are listed on both the Nasdaq in the United States and Nasdaq Iceland Main Market in Iceland, and our SDRs are listed on the Nasdaq Stockholm Main Market in Sweden. The trading of ordinary shares and SDRs in these markets takes place in different currencies (U.S. dollars on Nasdaq, Icelandic Krona on Nasdaq Iceland Main Market, and Swedish Krona on Nasdaq Stockholm Main Market), at different times (resulting from different time zones, different trading days and different public holidays in the United States, Iceland, and Sweden) and with different settlement mechanics. The trading prices of ordinary shares and SDRs on these markets may differ due to these and other factors. Any decrease in the price of ordinary shares on Nasdaq Iceland Main Market could cause a decrease in the trading price of ordinary shares on Nasdaq, or the trading price of SDRs on Nasdaq Stockholm Main Market, and vice versa. Investors could seek to sell or buy ordinary shares or SDRs to take advantage of any price differences between the markets through a practice referred to as arbitrage. Any arbitrage activity could create unexpected volatility in both the trading prices on one exchange and ordinary shares or SDRs available for trading on the other exchange. Further, the triple listing of ordinary shares and SDRs may reduce the liquidity of these securities in one or both markets and may adversely affect the development of an active trading market for ordinary shares in the United States.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may challenge our critical accounting estimates which could lead to the need to change our accounting practices and restate our historical financial statements.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statements are prepared in accordance with IFRS Accounting Standards™ (“IFRS”) as issued by the International Accounting Standards Board (“IASB”), which comprise all standards and interpretations approved by the IASB, and as adopted by the European Union. The preparation of IFRS-compliant financial statements requires the use of critical accounting judgments and material estimates to be made by us that involve a high degree of complexity and uncertainty. These estimates and judgments include, but are not limited to, the recognition of revenue, the valuations of derivative financial liabilities, the valuation of restricted share units, and the valuation of deferred tax assets.</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Regulatory bodies, including the SEC and the </w:t>
      </w:r>
      <w:r>
        <w:rPr>
          <w:rFonts w:ascii="Times New Roman" w:cs="Times New Roman" w:eastAsia="Times New Roman" w:hAnsi="Times New Roman"/>
          <w:sz w:val="18"/>
          <w:szCs w:val="18"/>
          <w:i w:val="1"/>
          <w:iCs w:val="1"/>
          <w:color w:val="auto"/>
        </w:rPr>
        <w:t>Luxembourg Commission de Surveillance du Secteur Financier</w:t>
      </w:r>
      <w:r>
        <w:rPr>
          <w:rFonts w:ascii="Times New Roman" w:cs="Times New Roman" w:eastAsia="Times New Roman" w:hAnsi="Times New Roman"/>
          <w:sz w:val="18"/>
          <w:szCs w:val="18"/>
          <w:color w:val="auto"/>
        </w:rPr>
        <w:t xml:space="preserve"> (the “CSSF”), regularly review companies’ annual reports and financial statements that are filed in their jurisdictions and, in doing so, will assess the accounting practices and estimates used by companies listed in the United States and European Union. These regulators have the authority to challenge our accounting estimates and judgments if they deem it appropriate to do so.</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If the competent regulators were to challenge our critical accounting estimates, it could lead to:</w:t>
      </w:r>
    </w:p>
    <w:p>
      <w:pPr>
        <w:spacing w:after="0" w:line="225" w:lineRule="exact"/>
        <w:rPr>
          <w:sz w:val="20"/>
          <w:szCs w:val="20"/>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Accounting Practices: We may be required to adopt different accounting policies or practices, which could affect our reported financial results and may not be in line with our historical accounting practices.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Restatements of Financial Statements: Such challenges, if concluded to represent misstatements, could lead to restatements of our previously issued financial statements, which may have adverse effects on our financial condition, operating results, and stock price.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Increased Compliance Costs: Addressing regulatory challenges and implementing changes in accounting practices could lead to increased compliance costs and require additional resources, which could adversely affect our financial performance.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Reputational Damage: Regulatory scrutiny and the resulting changes in accounting practices could negatively impact our reputation and investor confidence, potentially affecting our market value and access to capital.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continuously review and update our accounting practices to ensure compliance with applicable regulations and accounting standards, there can be no assurance that we will not face regulatory challenges and that any changes in accounting estimates resulting will not have a material adverse effect on our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and difficulties with the closing of the concurrent private placement and no assurance can be given that closing will take place on the timeline currently anticipated.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failure to close the concurrent private placement could adversely impact our future liquidity and our financial condition. On June 16, 2026, we entered into agreements with certain investors in the European Economic Area pursuant to which the investors have agreed to subscribe to an aggregate of 17,826,666 of our ordinary shares in the concurrent private placement, at the public offering price of our ordinary shares in the public offering, for gross proceeds to us of approximately $66.85 million. The closing of the concurrent private placement is subject to customary closing conditions, including the closing of this offering, and is expected to take place on within seven business days following the closing of this offering. We may experience delays and difficulties with the closing of the concurrent private placement, and no assurance can be given that closing will take place on the timeline currently anticipated. Some of the conditions to closing are outside of our control and it is possible that not all of the closing conditions to the concurrent private placement will be satisfied or that we will not receive the entire amount of expected proceeds on the timeline currently anticipated. The failure to close the concurrent private placement could adversely impact our future liquidity and our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Advancement and Approval of Our Product Candidates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received Complete Response Letters from the FDA on our Biologics License Applications for AVT03, AVT05, and AVT06, and if our resubmission of our BLAs for AVT03, AVT05, and AVT06 is not approved in accordance with our expected timeframe, our business could be materially and adversely affected.</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January 2025, the FDA accepted our BLA for AVT05 as a proposed biosimilar to Simponi / Simponi Aria (golimumab) for the treatment of patients with inflammatory conditions, including rheumatoid arthritis, psoriatic arthritis, ankylosing spondylitis, and ulcerative colitis.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2025, the FDA accepted our BLA for AVT06 as a proposed biosimilar to Eylea (aflibercept) for the treatment of patients with neovascular (wet) age related macular degeneration (AMD), macular edema, and diabetic retinopathy.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2025, the FDA accepted our partner’s BLA for AVT03 as a proposed biosimilar to Prolia (denosumab) for the treatment of osteoporosis in women after menopause who are at high risk for bone fracture and Xgeva (denosumab) a prescription biologic medicine used to prevent fracture, spinal cord compression, or the need for radiation or surgery to bone in patients with multiple myeloma and in patients with bone metastases from solid tumors.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2025, we and our partner received CRLs from the FDA regarding, respectively, the BLAs for AVT05, AVT06, and AVT03. The CRLs all stated that the FDA had identified deficiencies related to our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Reykjavik manufacturing facility following the FDA’s pre license inspection in July 2025, which must be satisfactorily resolved before these BLAs may be approved. The FDA did not identify any other deficiencies with the applications.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4, 2026, we announced that we had resubmitted our BLAs for AVT05 and AVT06. Prior to approval of such BLAs, the FDA may decide to re-inspect our Reykjavik manufacturing facility. If the FDA re-inspects our facility and does not agree with our assessment that the previously identified deficiencies have been adequately resolved, or were to identify additional deficiencies, the approval of AVT05 and AVT06 in the United Sates may be further delayed, which could have a material adverse effect on our business, financial condition, and results of operations and may cause the market price of our securities to decline.</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Section 27A of the Securities Act of 1933, as amended, and Section 21E of the Exchange Act, that are based on our management’s beliefs and assumptions and on information currently available to our management. Discussions containing these forward-looking statements may be found, among other places, in the sections titled “Information on the Company,” “Risk Factors” and “Operating and Financial Review and Prospects” incorporated by reference from our most recent Annual Report on Form 20-F and our interim financial reports filed on Form 6-K filed with the SEC.</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statements other than present and historical facts and conditions contained in this prospectus supplement, including statements regarding our future results of operations and financial positions, business strategy, plans and our objectives for future operations, are forward-looking statements. When used in this prospectus supplement, the words “anticipate,” “believe,” “can,” “could,” “would,” “estimate,” “expect,” “intend,” “is designed to,” “may,” “might,” “plan,” “potential,” “project,” “predict,” “objective,” “should,” “continue,” “ongoing,” “target,” “possible,” or the negative of these and similar expressions identify forward-looking statements. Forward-looking statements include, but are not limited to, statements about:</w:t>
      </w:r>
    </w:p>
    <w:p>
      <w:pPr>
        <w:spacing w:after="0" w:line="18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and our ability to obtain and maintain regulatory approval for our product candidates of the U.S. Food and Drug Administration (the “FDA”), the European Medicines Agency, the Medicines and Healthcare products Regulatory Agency, European Commission and comparable national or regional authorities;</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the announcement of clinical study results, the commencement of patient studies, regulatory applications, approvals and market launches;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regulatory review and interactions, including the timing and results of the facility inspection by the FDA or other foreign regulatory authorities;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our ability to address the deficiencies identified in the Complete Response Letters (“CRLs”) on our Biologics License Applications for AVT03, AVT05, and AVT06 we received from the FDA;</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commercialization of our products and product candidates, if approved for commercial use;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financial performance;</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of our business model and changes in our strategy, future operations, financial position, estimated revenues and losses, projected costs, prospects and plans;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strategic advantages and the impact those advantages will have on future financial and operational results;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expansion plans and opportunities;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grow our business in a cost-effective manner;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approach and goals with respect to technology;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applicable laws or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with respect to ongoing and potential litigation and regulatory proceedings;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the listing of our ordinary shares, with a nominal value of $0.01 per share, or warrants on Nasdaq, Nasdaq Iceland Main Market and our SDRs on the Nasdaq Stockholm Market;</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comply with all applicable laws and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successfully launch our products in certain markets after obtaining regulatory approval for such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estimates of expenses and profitability;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raise additional adequate funds through equity or debt financing;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identify and successfully develop new product candidates;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third party providers for clinical and non-clinical studies, supplies, and manufacturing of our products;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manage our manufacturing risks;</w:t>
      </w:r>
    </w:p>
    <w:p>
      <w:pPr>
        <w:spacing w:after="0" w:line="224"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worsening or unpredictable macroeconomic conditions, including rising inflation, interest rates and cost of energy, and general market conditions, global geopolitical tension, including regions affected by Russia’s invasion of Ukraine and conflicts in the Middle East, or public health emergencies, on the business, financial position, strategy and anticipated milestones;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third-party partners for the commercialization of our product candidates;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attract and hire qualified personnel.</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closing of the concurrent private placement;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use of proceeds from this offering and the concurrent private placement;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other risks and uncertainties, including those listed in this prospectus supplement in the section entitled “Risk Factors.”</w:t>
      </w:r>
    </w:p>
    <w:p>
      <w:pPr>
        <w:spacing w:after="0" w:line="2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refer to the section entitled “Risk Factors” contained in this prospectus supplement, and under similar headings in the other documents that are incorporated by reference into this prospectus supplement, for a discussion of important factors that may cause our actual results to differ materially from those expressed or implied by our forward-looking statements. As a result of these factors, we cannot assure you that the forward-looking statements in this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required by law, we undertake no obligation to publicly update any forward-looking statements, whether as a result of new information, future events or otherwise. You should, therefore, not rely on these forward-looking statements as representing our views as of any date subsequent to the date of this prospectus supplement.</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and the documents that we reference in this prospectus supplement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supplement is generally reliable and we are responsible for the accuracy of the information, such information is inherently imprecise.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estimate that we will receive net proceeds from the offering of approximately $79.21 million, based on the public offering price of $3.75 per ordinary share, or up to approximately $91.20 million if the underwriters exercise in full their option to purchase up to an additional 3,400,000 ordinary shares, after deducting underwriting commissions and estimated offering expenses payable by us. We estimate we will receive an additional approximately $64.51 million in net proceeds from the issuance of our ordinary shares in the concurrent private placement after deducting estimated private placement expenses payable by us.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to fund the continued development of our biosimilar assets, as well as working capital and general corporate purposes, which may include, among others, intellectual property protection and enforcement, commercial expenditures, capital expenditures, acquisitions or collaborations, pre-clinical and clinical development of our product candidates, research and development and product development, pre-commercialization activities and repayment or refinancing of indebtedness or other corporate borrowings.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 We have not determined the amount of net proceeds to be used specifically for the foregoing purposes. As a result, our management will have broad discretion in the allocation of the net proceeds from this offering.</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expected use of net proceeds to us from this offering and the concurrent private placement represents our current intentions based upon our present plans and business condition. The amount and timing of our actual expenditures will depend upon numerous factors, including the results of our research and development efforts, the timing and success of preclinical studies, our ongoing clinical trials or clinical trials we may commence in the future and the timing of regulatory submissions.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the offering and the concurrent private placement, we intend to invest the net proceeds in a variety of capital preservation investments, including short-term, investment-grade, interest-bearing instruments.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48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never declared or paid any dividends on our ordinary shares.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our annual net profits, at least 5% shall each year be allocated to the reserve required by applicable laws (the “Legal Reserve”). That allocation to the Legal Reserve will cease to be required as soon and as long as the Legal Reserve amounts to 10% of the amount of our share capital. The legal reserve is not available for distribution.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anticipate paying any cash dividends in the foreseeable future. We intend to retain all available funds and any future earnings to fund the development and expansion of our business and product candidates.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Luxembourg law of August 10, 1915, on commercial companies, as amended (“Luxembourg Company Law”), the general meeting of shareholders, by a simple majority vote and based on the recommendation of our board of directors,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each ordinary share entitling to the same proportion in such distributions.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may resolve that we pay out an interim dividend to our shareholders, subject to the conditions of article 461-3 of the Luxembourg Company Law and Alvotech’s amended and restated articles of association. Our Board of Directors shall set the amount and the date of payment of the interim dividend.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share premium, assimilated premium or other distributable reserve may be freely distributed to the shareholders subject to the provisions of the Luxembourg Company Law and our articles of association.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may be lawfully declared and paid only if our net profits and/or distributable reserves are sufficient under Luxembourg Company Law.</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Thus, in case of a dividend payment, each shareholder is entitled to receive a dividend right pro rata according to his or her respective shareholding. The dividend entitlement lapses upon the expiration of a five-year prescription period from the date of the dividend distribution. The unclaimed dividends return to our accounts. However, we do not anticipate paying cash dividends on our ordinary shares in the foreseeable future.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2026:</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an actual basis;</w:t>
      </w:r>
    </w:p>
    <w:p>
      <w:pPr>
        <w:spacing w:after="0" w:line="224"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an as adjusted basis, giving effect to (1) the issuance and sale of 22,666,667 ordinary shares in this offering, at the public offering price of $3.75 per share, after deducting the underwriting discounts and commissions and estimated offering expenses payable by us; and (2) our issuance and sale of 17,826,666 ordinary shares in the concurrent private placement at the public offering price per ordinary share, and after application of the net proceeds as set forth under “Use of Proceeds.”</w:t>
      </w:r>
    </w:p>
    <w:p>
      <w:pPr>
        <w:spacing w:after="0" w:line="18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other sections of this prospectus supplement, the accompanying prospectus and any documents that they incorporate by reference, including our consolidated financial statements and the related notes.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(in USD thousands)</w:t>
            </w:r>
          </w:p>
        </w:tc>
        <w:tc>
          <w:tcPr>
            <w:tcW w:w="3400" w:type="dxa"/>
            <w:vAlign w:val="bottom"/>
            <w:tcBorders>
              <w:bottom w:val="single" w:sz="8" w:color="auto"/>
            </w:tcBorders>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3400" w:type="dxa"/>
            <w:vAlign w:val="bottom"/>
            <w:gridSpan w:val="3"/>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760" w:type="dxa"/>
            <w:vAlign w:val="bottom"/>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E5FFFF"/>
            </w:tcBorders>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63,832</w:t>
            </w:r>
          </w:p>
        </w:tc>
        <w:tc>
          <w:tcPr>
            <w:tcW w:w="200" w:type="dxa"/>
            <w:vAlign w:val="bottom"/>
            <w:tcBorders>
              <w:top w:val="single" w:sz="8" w:color="E5FFFF"/>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207,549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Senior Secured First Lien Term Loan Facility</w:t>
            </w:r>
          </w:p>
        </w:tc>
        <w:tc>
          <w:tcPr>
            <w:tcW w:w="26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1,031,822</w:t>
            </w:r>
          </w:p>
        </w:tc>
        <w:tc>
          <w:tcPr>
            <w:tcW w:w="720" w:type="dxa"/>
            <w:vAlign w:val="bottom"/>
            <w:shd w:val="clear" w:color="auto" w:fill="E5FFFF"/>
          </w:tcPr>
          <w:p>
            <w:pPr>
              <w:spacing w:after="0"/>
              <w:rPr>
                <w:sz w:val="18"/>
                <w:szCs w:val="18"/>
                <w:color w:val="auto"/>
              </w:rPr>
            </w:pPr>
          </w:p>
        </w:tc>
        <w:tc>
          <w:tcPr>
            <w:tcW w:w="1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1,031,822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 Convertible Bonds</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69,938</w:t>
            </w:r>
          </w:p>
        </w:tc>
        <w:tc>
          <w:tcPr>
            <w:tcW w:w="7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Senior Term Loan Facility</w:t>
            </w:r>
          </w:p>
        </w:tc>
        <w:tc>
          <w:tcPr>
            <w:tcW w:w="26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97,117</w:t>
            </w:r>
          </w:p>
        </w:tc>
        <w:tc>
          <w:tcPr>
            <w:tcW w:w="720" w:type="dxa"/>
            <w:vAlign w:val="bottom"/>
            <w:shd w:val="clear" w:color="auto" w:fill="E5FFFF"/>
          </w:tcPr>
          <w:p>
            <w:pPr>
              <w:spacing w:after="0"/>
              <w:rPr>
                <w:sz w:val="18"/>
                <w:szCs w:val="18"/>
                <w:color w:val="auto"/>
              </w:rPr>
            </w:pPr>
          </w:p>
        </w:tc>
        <w:tc>
          <w:tcPr>
            <w:tcW w:w="1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97,117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borrowings</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110,754</w:t>
            </w:r>
          </w:p>
        </w:tc>
        <w:tc>
          <w:tcPr>
            <w:tcW w:w="7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Total Borrowings</w:t>
            </w:r>
          </w:p>
        </w:tc>
        <w:tc>
          <w:tcPr>
            <w:tcW w:w="24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1,309,631</w:t>
            </w:r>
          </w:p>
        </w:tc>
        <w:tc>
          <w:tcPr>
            <w:tcW w:w="200" w:type="dxa"/>
            <w:vAlign w:val="bottom"/>
            <w:tcBorders>
              <w:top w:val="single" w:sz="8" w:color="E5FFFF"/>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1,309,631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 xml:space="preserve">Including: </w:t>
            </w:r>
            <w:r>
              <w:rPr>
                <w:rFonts w:ascii="Times New Roman" w:cs="Times New Roman" w:eastAsia="Times New Roman" w:hAnsi="Times New Roman"/>
                <w:sz w:val="18"/>
                <w:szCs w:val="18"/>
                <w:color w:val="auto"/>
              </w:rPr>
              <w:t>current maturities of borrowings</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42,514</w:t>
            </w:r>
          </w:p>
        </w:tc>
        <w:tc>
          <w:tcPr>
            <w:tcW w:w="7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E5FFFF"/>
            </w:tcBorders>
            <w:shd w:val="clear" w:color="auto" w:fill="E5FFFF"/>
          </w:tcPr>
          <w:p>
            <w:pPr>
              <w:ind w:left="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8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176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capital</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2,930</w:t>
            </w:r>
          </w:p>
        </w:tc>
        <w:tc>
          <w:tcPr>
            <w:tcW w:w="7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Share premium</w:t>
            </w:r>
          </w:p>
        </w:tc>
        <w:tc>
          <w:tcPr>
            <w:tcW w:w="26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2,106,919</w:t>
            </w:r>
          </w:p>
        </w:tc>
        <w:tc>
          <w:tcPr>
            <w:tcW w:w="720" w:type="dxa"/>
            <w:vAlign w:val="bottom"/>
            <w:shd w:val="clear" w:color="auto" w:fill="E5FFFF"/>
          </w:tcPr>
          <w:p>
            <w:pPr>
              <w:spacing w:after="0"/>
              <w:rPr>
                <w:sz w:val="18"/>
                <w:szCs w:val="18"/>
                <w:color w:val="auto"/>
              </w:rPr>
            </w:pPr>
          </w:p>
        </w:tc>
        <w:tc>
          <w:tcPr>
            <w:tcW w:w="1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2,250,231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reserve</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16,198</w:t>
            </w:r>
          </w:p>
        </w:tc>
        <w:tc>
          <w:tcPr>
            <w:tcW w:w="7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Translation reserve</w:t>
            </w:r>
          </w:p>
        </w:tc>
        <w:tc>
          <w:tcPr>
            <w:tcW w:w="26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720" w:type="dxa"/>
            <w:vAlign w:val="bottom"/>
            <w:shd w:val="clear" w:color="auto" w:fill="E5FFFF"/>
          </w:tcPr>
          <w:p>
            <w:pPr>
              <w:spacing w:after="0"/>
              <w:rPr>
                <w:sz w:val="18"/>
                <w:szCs w:val="18"/>
                <w:color w:val="auto"/>
              </w:rPr>
            </w:pPr>
          </w:p>
        </w:tc>
        <w:tc>
          <w:tcPr>
            <w:tcW w:w="1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(2,408,760)</w:t>
            </w:r>
          </w:p>
        </w:tc>
        <w:tc>
          <w:tcPr>
            <w:tcW w:w="7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200" w:type="dxa"/>
            <w:vAlign w:val="bottom"/>
            <w:tcBorders>
              <w:top w:val="single" w:sz="8" w:color="E5FFFF"/>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spacing w:after="0"/>
              <w:rPr>
                <w:sz w:val="18"/>
                <w:szCs w:val="18"/>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(138,595)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1,027,319</w:t>
            </w: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1,171,036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ordinary shares outstanding as of March 31, 2026 was 312,153,164, which excludes: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9,943,434 outstanding warrants to purchase ordinary shares at an exercise price of $11.50 per share as of March 31, 2026;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4,308,239 ordinary shares issuable upon vesting of restricted stock units granted to certain employees, executive officers and directors under 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265,241 ordinary shares issuable upon exercise of outstanding stock options granted to certain employees, executive officers and directors underthe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7,561,141 ordinary shares reserved for future issuance under the Alvotech Management Incentive Plan as of March 31, 2026;</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19,165,000 ordinary shares issuable upon vesting of certain earn-out shares as of March 31, 2026;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shares issuable upon conversion of the 6.875% senior unsecured convertible bonds due December 22, 2030, with an initial conversion price of $5.9224 per share, under which $69.9 million aggregate principal amount was outstanding as of March 31, 2026.</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invest in our ordinary shares in this offering, your ownership interest will be immediately diluted to the extent of the difference between the public offering price per share and the as adjusted net tangible book value per ordinary share after this offering and the concurrent private placement. Net tangible book value per ordinary share is calculated by subtracting our total liabilities from our total tangible assets and dividing this amount by the number of ordinary shares outstanding.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net tangible book value as of March 31, 2026 was $(414.4) million, or $(1.33) per ordinary share.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giving further effect to our sale of 22,666,667 ordinary shares in this offering at the public offering price of $3.75 per ordinary share and our issuance and sale of 17,826,666 ordinary shares in the concurrent private placement at the public offering price per ordinary share, and after deducting underwriting commissions and estimated offering expenses payable by us, our as adjusted net tangible book value at March 31, 2026 would have been $(270.7) million, or $(0.77) per ordinary share. This represents an immediate increase in as adjusted net tangible book value of $0.56 per ordinary share to existing shareholders and an immediate dilution in as adjusted net tangible book value of $4.52 per ordinary share to new investors.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ordinary share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20" w:type="dxa"/>
            <w:vAlign w:val="bottom"/>
            <w:tcBorders>
              <w:bottom w:val="single" w:sz="8" w:color="E5FFFF"/>
            </w:tcBorders>
          </w:tcPr>
          <w:p>
            <w:pPr>
              <w:spacing w:after="0"/>
              <w:rPr>
                <w:sz w:val="15"/>
                <w:szCs w:val="15"/>
                <w:color w:val="auto"/>
              </w:rPr>
            </w:pPr>
          </w:p>
        </w:tc>
        <w:tc>
          <w:tcPr>
            <w:tcW w:w="100" w:type="dxa"/>
            <w:vAlign w:val="bottom"/>
            <w:tcBorders>
              <w:bottom w:val="single" w:sz="8" w:color="E5FFFF"/>
            </w:tcBorders>
          </w:tcPr>
          <w:p>
            <w:pPr>
              <w:spacing w:after="0"/>
              <w:rPr>
                <w:sz w:val="15"/>
                <w:szCs w:val="15"/>
                <w:color w:val="auto"/>
              </w:rPr>
            </w:pPr>
          </w:p>
        </w:tc>
        <w:tc>
          <w:tcPr>
            <w:tcW w:w="20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 Ordinary Share</w:t>
            </w:r>
          </w:p>
        </w:tc>
      </w:tr>
      <w:tr>
        <w:trPr>
          <w:trHeight w:val="209"/>
        </w:trPr>
        <w:tc>
          <w:tcPr>
            <w:tcW w:w="912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shd w:val="clear" w:color="auto" w:fill="E5FFFF"/>
          </w:tcPr>
          <w:p>
            <w:pPr>
              <w:spacing w:after="0"/>
              <w:rPr>
                <w:sz w:val="18"/>
                <w:szCs w:val="18"/>
                <w:color w:val="auto"/>
              </w:rPr>
            </w:pPr>
          </w:p>
        </w:tc>
        <w:tc>
          <w:tcPr>
            <w:tcW w:w="2020" w:type="dxa"/>
            <w:vAlign w:val="bottom"/>
            <w:gridSpan w:val="2"/>
            <w:shd w:val="clear" w:color="auto" w:fill="E5FFFF"/>
          </w:tcPr>
          <w:p>
            <w:pPr>
              <w:ind w:left="112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Historical net tangible book value per ordinary share as of March 31, 2026</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$(1.33)</w:t>
            </w:r>
          </w:p>
        </w:tc>
        <w:tc>
          <w:tcPr>
            <w:tcW w:w="900" w:type="dxa"/>
            <w:vAlign w:val="bottom"/>
          </w:tcPr>
          <w:p>
            <w:pPr>
              <w:spacing w:after="0"/>
              <w:rPr>
                <w:sz w:val="18"/>
                <w:szCs w:val="18"/>
                <w:color w:val="auto"/>
              </w:rPr>
            </w:pPr>
          </w:p>
        </w:tc>
      </w:tr>
      <w:tr>
        <w:trPr>
          <w:trHeight w:val="216"/>
        </w:trPr>
        <w:tc>
          <w:tcPr>
            <w:tcW w:w="912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Increase per ordinary share attributable to concurrent private placement</w:t>
            </w:r>
          </w:p>
        </w:tc>
        <w:tc>
          <w:tcPr>
            <w:tcW w:w="1220" w:type="dxa"/>
            <w:vAlign w:val="bottom"/>
            <w:gridSpan w:val="2"/>
            <w:shd w:val="clear" w:color="auto" w:fill="E5FFFF"/>
          </w:tcPr>
          <w:p>
            <w:pPr>
              <w:jc w:val="right"/>
              <w:ind w:right="679"/>
              <w:spacing w:after="0"/>
              <w:rPr>
                <w:sz w:val="20"/>
                <w:szCs w:val="20"/>
                <w:color w:val="auto"/>
              </w:rPr>
            </w:pPr>
            <w:r>
              <w:rPr>
                <w:rFonts w:ascii="Times New Roman" w:cs="Times New Roman" w:eastAsia="Times New Roman" w:hAnsi="Times New Roman"/>
                <w:sz w:val="18"/>
                <w:szCs w:val="18"/>
                <w:color w:val="auto"/>
              </w:rPr>
              <w:t>0.27</w:t>
            </w:r>
          </w:p>
        </w:tc>
        <w:tc>
          <w:tcPr>
            <w:tcW w:w="900" w:type="dxa"/>
            <w:vAlign w:val="bottom"/>
            <w:shd w:val="clear" w:color="auto" w:fill="E5FFFF"/>
          </w:tcPr>
          <w:p>
            <w:pPr>
              <w:spacing w:after="0"/>
              <w:rPr>
                <w:sz w:val="18"/>
                <w:szCs w:val="18"/>
                <w:color w:val="auto"/>
              </w:rPr>
            </w:pPr>
          </w:p>
        </w:tc>
      </w:tr>
      <w:tr>
        <w:trPr>
          <w:trHeight w:val="198"/>
        </w:trPr>
        <w:tc>
          <w:tcPr>
            <w:tcW w:w="91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ordinary share attributable to new investors purchasing ordinary shares in this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offering</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w:t>
            </w:r>
          </w:p>
        </w:tc>
        <w:tc>
          <w:tcPr>
            <w:tcW w:w="900" w:type="dxa"/>
            <w:vAlign w:val="bottom"/>
          </w:tcPr>
          <w:p>
            <w:pPr>
              <w:spacing w:after="0"/>
              <w:rPr>
                <w:sz w:val="20"/>
                <w:szCs w:val="20"/>
                <w:color w:val="auto"/>
              </w:rPr>
            </w:pPr>
          </w:p>
        </w:tc>
      </w:tr>
      <w:tr>
        <w:trPr>
          <w:trHeight w:val="198"/>
        </w:trPr>
        <w:tc>
          <w:tcPr>
            <w:tcW w:w="9120" w:type="dxa"/>
            <w:vAlign w:val="bottom"/>
            <w:shd w:val="clear" w:color="auto" w:fill="E5FFFF"/>
          </w:tcPr>
          <w:p>
            <w:pPr>
              <w:ind w:left="60"/>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ordinary share after giving effect to this offering and the concurrent private</w:t>
            </w: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r>
      <w:tr>
        <w:trPr>
          <w:trHeight w:val="234"/>
        </w:trPr>
        <w:tc>
          <w:tcPr>
            <w:tcW w:w="912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placement</w:t>
            </w:r>
          </w:p>
        </w:tc>
        <w:tc>
          <w:tcPr>
            <w:tcW w:w="2120" w:type="dxa"/>
            <w:vAlign w:val="bottom"/>
            <w:gridSpan w:val="3"/>
            <w:shd w:val="clear" w:color="auto" w:fill="E5FFFF"/>
          </w:tcPr>
          <w:p>
            <w:pPr>
              <w:ind w:left="1220"/>
              <w:spacing w:after="0"/>
              <w:rPr>
                <w:sz w:val="20"/>
                <w:szCs w:val="20"/>
                <w:color w:val="auto"/>
              </w:rPr>
            </w:pPr>
            <w:r>
              <w:rPr>
                <w:rFonts w:ascii="Times New Roman" w:cs="Times New Roman" w:eastAsia="Times New Roman" w:hAnsi="Times New Roman"/>
                <w:sz w:val="18"/>
                <w:szCs w:val="18"/>
                <w:color w:val="auto"/>
              </w:rPr>
              <w:t>(0.77)</w:t>
            </w:r>
          </w:p>
        </w:tc>
      </w:tr>
      <w:tr>
        <w:trPr>
          <w:trHeight w:val="210"/>
        </w:trPr>
        <w:tc>
          <w:tcPr>
            <w:tcW w:w="9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Dilution per ordinary share to new investors participating in the offering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$4.52</w:t>
            </w:r>
          </w:p>
        </w:tc>
      </w:tr>
      <w:tr>
        <w:trPr>
          <w:trHeight w:val="20"/>
        </w:trPr>
        <w:tc>
          <w:tcPr>
            <w:tcW w:w="9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3,400,000 additional shares, our as adjusted net tangible book value per share after this offering and the concurrent private placement would be $(258.7), representing an immediate increase in net tangible book value per share of $0.60 to existing stockholders and immediate dilution in net tangible book value per share of $4.48 to new investors purchasing ordinary shares in this offering at the offering price of $3.75 per share, and after deducting the underwriting discounts and commissions and estimated offering expenses payable by 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312,153,164 ordinary shares outstanding as of March 31, 2026 and does not include: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9,943,434 outstanding warrants to purchase ordinary shares at an exercise price of $11.50 per share as of March 31, 2026;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4,308,239 ordinary shares issuable upon vesting of restricted stock units granted to certain employees, executive officers and directors under 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265,241 ordinary shares issuable upon exercise of outstanding stock options granted to certain employees, executive officers and directors underthe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7,561,141 ordinary shares reserved for future issuance under the Alvotech Management Incentive Plan as of March 31, 2026;</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19,165,000 ordinary shares issuable upon vesting of certain earn-out shares as of March 31, 2026;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shares issuable upon conversion of the 6.875% senior unsecured convertible bonds due December 22, 2030, with an initial conversion price of $5.9224 per share, under which $69.9 million aggregate principal amount was outstanding as of March 31, 2026.</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MATERIAL LUXEMBOURG INCOME TAX CONSIDERATIONS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information is of a general nature only and is based on the laws in force in Luxembourg as of the date of this prospectus supplement and is subject to any change in law that may take effect after such date. It does not purport to be a comprehensive description of all tax considerations that might be relevant to an investment decision. It is not intended to be, nor should it be construed to be, legal or tax advice. It is a description of the essential material Luxembourg tax consequences with respect to the listing and may not include tax considerations that arise from rules of general application or that are generally assumed to be known to investors. Prospective holders of ordinary shares should consult their professional advisors with respect to particular circumstances, the effects of state, local or foreign laws to which they may be subject, and as to their tax position.</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Please be aware that the residence concept used under the respective headings applies for Luxembourg income tax assessment purposes only. Any reference in this section to a tax, duty, levy impost or other charge or withholding of a similar nature refers to Luxembourg tax law and/or concepts only. In addition, please note that a reference to Luxembourg income tax generally encompasses corporate income tax (impôt sur le revenu des collectivités), municipal business tax (impôt commercial communal), a solidarity surcharge (contribution au fonds pour l’emploi) as well as personal income tax (impôt sur le revenu). Corporate holders of ordinary shares may further be subject to net worth tax (impôt sur la fortune) as well as other duties, levies or taxes. Corporate income tax, municipal business tax, the solidarity surcharge and net worth tax invariably apply to most corporate taxpayers resident in Luxembourg for tax purposes. Corporate taxpayers may further be subject to a top-up tax arising under any legislation implementing OECD (2021), Tax Challenges Arising from Digitalisation of the Economy – Global Anti-Base Erosion Model Rules (Pillar 2): Inclusive Framework on BEPS, OECD/G20 Base Erosion and Profit Shifting Project, OECD Publishing, Paris, Council Directive (EU) 2022/2523 of December 14, 2022, on ensuring a global minimum level of taxation for multinational enterprise groups and large-scale domestic groups in the Union, the Luxembourg law of December 22, 2023 (the “Pillar 2 Law”), or similar rules. Individual taxpayers are generally subject to personal income tax and the solidarity surcharge. Under certain circumstances, where an individual taxpayer acts in the course of the management of a professional or business undertaking, municipal business tax may apply as well.</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Taxation of Alvotech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right="20" w:firstLine="386"/>
        <w:spacing w:after="0" w:line="282" w:lineRule="auto"/>
        <w:rPr>
          <w:sz w:val="20"/>
          <w:szCs w:val="20"/>
          <w:color w:val="auto"/>
        </w:rPr>
      </w:pPr>
      <w:r>
        <w:rPr>
          <w:rFonts w:ascii="Times New Roman" w:cs="Times New Roman" w:eastAsia="Times New Roman" w:hAnsi="Times New Roman"/>
          <w:sz w:val="18"/>
          <w:szCs w:val="18"/>
          <w:color w:val="auto"/>
        </w:rPr>
        <w:t>From a Luxembourg tax perspective, Luxembourg companies are considered as being resident in Luxembourg provided that they have either their registered office or their central administration in Luxembourg.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Alvotech is a fully taxable Luxembourg company. The net taxable profit of Alvotech is subject to corporate income tax (“CIT”) and municipal business tax (“MBT”) at ordinary rates in Luxembourg.</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maximum aggregate CIT and MBT rate amounts to 23.87% (including the solidarity surcharge for the employment fund) for companies located in the municipality of Luxembourg-city. Liability to such corporation taxes extends to Alvotech’s worldwide income (including capital gains), subject to the provisions of any relevant double taxation treaty. The taxable income of Alvotech is computed by application of all rules of the Luxembourg income tax law of December 4, 1967, as amended (</w:t>
      </w:r>
      <w:r>
        <w:rPr>
          <w:rFonts w:ascii="Times New Roman" w:cs="Times New Roman" w:eastAsia="Times New Roman" w:hAnsi="Times New Roman"/>
          <w:sz w:val="18"/>
          <w:szCs w:val="18"/>
          <w:i w:val="1"/>
          <w:iCs w:val="1"/>
          <w:color w:val="auto"/>
        </w:rPr>
        <w:t>loi concernant l’impôt sur le revenu</w:t>
      </w:r>
      <w:r>
        <w:rPr>
          <w:rFonts w:ascii="Times New Roman" w:cs="Times New Roman" w:eastAsia="Times New Roman" w:hAnsi="Times New Roman"/>
          <w:sz w:val="18"/>
          <w:szCs w:val="18"/>
          <w:color w:val="auto"/>
        </w:rPr>
        <w:t>), as commented and currently applied by the Luxembourg tax authorities (“LIR”). The taxable profit as determined for CIT purposes is applicable, with minor adjustments, for MBT purposes. Under the LIR, all income of Alvotech will be taxable in the fiscal period to which it economically relates and all deductible expenses of Alvotech will be deductible in the fiscal period to which they economically relate. Under certain conditions, dividends received by Alvotech from qualifying participations and capital gains realized by Alvotech on the sale of such participations, may be exempt from Luxembourg corporation taxes under the Luxembourg participation exemption regime. A tax credit is generally granted for withholding taxes levied at source within the limit of the tax payable in Luxembourg on such income, whereby any excess withholding tax is not refundable (but may be deductible under certain conditions).</w:t>
      </w:r>
    </w:p>
    <w:p>
      <w:pPr>
        <w:spacing w:after="0" w:line="194"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dividends derived from shares may be exempt from income taxes if (i) the distributing company is a qualified subsidiary (“Qualified Subsidiary”) and (ii) at the time the dividend is put at Alvotech’s disposal, the latter holds or commits itself to hold for an uninterrupted period of at least 12 months shares representing either (a) a direct participation of at least 10% in the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share capital of the Qualified Subsidiary or (b) a direct participation in the Qualified Subsidiary of an acquisition price of at least €1.2 million (“Qualified Shareholding”). A Qualified Subsidiary means notably (a) a company covered by Article 2 of the Council Directive 2011/96/EU dated November 30, 2011 (the “Parent-Subsidiary Directive”) or (b) a non-resident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liable to a tax corresponding to Luxembourg CIT. Liquidation proceeds are assimilated to a received dividend and may be exempt under the same conditions.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conditions of the participation exemption regime are not met, dividends derived by Alvotech from the Qualified Subsidiary may be exempt for 50% of their gross amount.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Capital gains realized by Alvotech on shares are subject to CIT and MBT at ordinary rates, unless the conditions of the participation exemption regime, as described below, are satisfied. Under the participation exemption regime (subject to the relevant anti-abuse rules), capital gains realized on shares may be exempt from income taxes at the level of Alvotech (subject to the recapture rules) if at the time the capital gain is realized, Alvotech holds or commits itself to hold for an uninterrupted period of at least 12 months shares representing a direct participation in the share capital of the Qualified Subsidiary (i) of at least 10% or of (ii) an acquisition price of at least €6 million. Taxable gains are determined as being the difference between the price for which shares have been disposed of and the lower of their cost or book value.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purposes of the participation exemption regime, shares held through a tax transparent entity are considered as being a direct participation proportionally to the percentage held in the net assets of the transparent entity.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Worth Tax</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Alvotech is as a rule subject to Luxembourg net worth tax (“NWT”) on its net assets as determined for net worth tax purposes. NWT is levied at the rate of 0.5% on net assets not exceeding €500 million and at the rate of 0.05% on the portion of the net assets exceeding €500 million. Net worth is referred to as the unitary value (</w:t>
      </w:r>
      <w:r>
        <w:rPr>
          <w:rFonts w:ascii="Times New Roman" w:cs="Times New Roman" w:eastAsia="Times New Roman" w:hAnsi="Times New Roman"/>
          <w:sz w:val="18"/>
          <w:szCs w:val="18"/>
          <w:i w:val="1"/>
          <w:iCs w:val="1"/>
          <w:color w:val="auto"/>
        </w:rPr>
        <w:t>valeur unitaire</w:t>
      </w:r>
      <w:r>
        <w:rPr>
          <w:rFonts w:ascii="Times New Roman" w:cs="Times New Roman" w:eastAsia="Times New Roman" w:hAnsi="Times New Roman"/>
          <w:sz w:val="18"/>
          <w:szCs w:val="18"/>
          <w:color w:val="auto"/>
        </w:rPr>
        <w:t>), as determined on January 1 of each year. The unitary value is in principle calculated as the difference between (i) assets estimated at their fair market value (</w:t>
      </w:r>
      <w:r>
        <w:rPr>
          <w:rFonts w:ascii="Times New Roman" w:cs="Times New Roman" w:eastAsia="Times New Roman" w:hAnsi="Times New Roman"/>
          <w:sz w:val="18"/>
          <w:szCs w:val="18"/>
          <w:i w:val="1"/>
          <w:iCs w:val="1"/>
          <w:color w:val="auto"/>
        </w:rPr>
        <w:t>valeur estimée de réalisation</w:t>
      </w:r>
      <w:r>
        <w:rPr>
          <w:rFonts w:ascii="Times New Roman" w:cs="Times New Roman" w:eastAsia="Times New Roman" w:hAnsi="Times New Roman"/>
          <w:sz w:val="18"/>
          <w:szCs w:val="18"/>
          <w:color w:val="auto"/>
        </w:rPr>
        <w:t>), and (ii) liabilities.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participation exemption regime, a Qualified Shareholding held by Alvotech in a Qualified Subsidiary is exempt for net worth tax purposes.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from January 1, 2016, a minimum net worth tax (“MNWT”) is levied on companies having their statutory seat or central administration in Luxembourg. The MNWT is determined solely on the basis of the companies’ total balance sheet and amounts to €535 for a balance sheet of up to €350,000, €1,605 for a balance sheet exceeding €350,000 and up to €2,000,000, and €4,815 for a balance sheet exceeding €2,000,000.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incorporation of Alvotech through a contribution in cash to its share capital as well as further share capital increase or other amendment to the articles of incorporation of Alvotech are subject to a fixed registration duty of €75.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Alvotech may be subject to a top-up tax in Luxembourg if it falls within the scope of the Pillar 2 Law.</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Taxes</w:t>
      </w:r>
    </w:p>
    <w:p>
      <w:pPr>
        <w:spacing w:after="0" w:line="229"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8"/>
          <w:szCs w:val="18"/>
          <w:color w:val="auto"/>
        </w:rPr>
        <w:t>Dividends paid by Alvotech to holders of ordinary shares are generally subject to a 15% withholding tax in Luxembourg, unless a reduced treaty rate or the participation exemption applies. Under certain conditions, a corresponding tax credit may be granted to the holders of ordinary shares. Responsibility for the withholding of the tax is assumed by Alvotech.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withholding tax exemption applies under the participation exemption regime (subject to the relevant anti-abuse rules), if cumulatively (i) the holder of ordinary shares is an eligible parent (“Eligible Parent”) and (ii) at the time the income is made available, the Eligible Parent holds or commits itself to hold for an uninterrupted period of at least 12 months a Qualified Shareholding in Alvotech. Holding a participation through a tax transparent entity is deemed to be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a direct participation in the proportion of the net assets held in this entity. An Eligible Parent includes notably (a) a company covered by Article 2 of the Parent-Subsidiary Directive or a Luxembourg permanent establishment thereof, (b) a company resident in a State having a double tax treaty with Luxembourg and liable to a tax corresponding to Luxembourg CIT or a Luxembourg permanent establishment thereof, (c) a capital company (</w:t>
      </w:r>
      <w:r>
        <w:rPr>
          <w:rFonts w:ascii="Times New Roman" w:cs="Times New Roman" w:eastAsia="Times New Roman" w:hAnsi="Times New Roman"/>
          <w:sz w:val="18"/>
          <w:szCs w:val="18"/>
          <w:i w:val="1"/>
          <w:iCs w:val="1"/>
          <w:color w:val="auto"/>
        </w:rPr>
        <w:t>société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capitaux</w:t>
      </w:r>
      <w:r>
        <w:rPr>
          <w:rFonts w:ascii="Times New Roman" w:cs="Times New Roman" w:eastAsia="Times New Roman" w:hAnsi="Times New Roman"/>
          <w:sz w:val="18"/>
          <w:szCs w:val="18"/>
          <w:color w:val="auto"/>
        </w:rPr>
        <w:t>) or a cooperative company (</w:t>
      </w:r>
      <w:r>
        <w:rPr>
          <w:rFonts w:ascii="Times New Roman" w:cs="Times New Roman" w:eastAsia="Times New Roman" w:hAnsi="Times New Roman"/>
          <w:sz w:val="18"/>
          <w:szCs w:val="18"/>
          <w:i w:val="1"/>
          <w:iCs w:val="1"/>
          <w:color w:val="auto"/>
        </w:rPr>
        <w:t>société coopérative</w:t>
      </w:r>
      <w:r>
        <w:rPr>
          <w:rFonts w:ascii="Times New Roman" w:cs="Times New Roman" w:eastAsia="Times New Roman" w:hAnsi="Times New Roman"/>
          <w:sz w:val="18"/>
          <w:szCs w:val="18"/>
          <w:color w:val="auto"/>
        </w:rPr>
        <w:t>) resident in a member state of the EEA other than an EU member state and liable to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to Luxembourg CIT or a Luxembourg permanent establishment thereof or (d) a Swiss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which is subject to CIT in Switzerland without benefiting from an exemption.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withholding tax is levied on capital gains and liquidation proceeds.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Taxation of the Holders of Ordinary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 Residency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holder of ordinary shares will not become resident, nor be deemed to be resident, in Luxembourg solely by virtue of holding and/or disposing of ordinary shares or the execution, performance, delivery and/or enforcement of his or her rights thereunder.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purposes of this section, a “disposal” may include a sale, an exchange, a contribution, a redemption and any other kind of alienation of ordinary shares.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Luxembourg Residents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Luxembourg Resident Individuals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Dividends and other payments derived from the ordinary shares held by resident individual holders, who act in the course of the management of either their private wealth or their professional/business activity, are subject to income tax at the ordinary progressive rates. Under current Luxembourg tax laws, 50% of the gross amount of dividends received by resident individuals from Alvotech may however be exempt from income tax.</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Capital gains realized on the disposal of the ordinary shares by resident individual shareholders, who act in the course of the management of their private wealth, are not subject to income tax, unless said capital gains qualify either as speculative gains or as gains on a substantial participation. Capital gains are deemed to be speculative if the ordinary shares are disposed of within six months after their acquisition or if their disposal precedes their acquisition. Speculative gains are subject to income tax as miscellaneous income at ordinary rates. A participation is deemed to be substantial where a resident individual shareholder holds or has held, either alone or together with his/her spouse or partner and/or minor children, directly or indirectly at any time within the five years preceding the disposal, more than 10% of the share capital of the company whose shares are being disposed of (the “Substantial Participation”). A holder of ordinary shares is also deemed to alienate a Substantial Participation if he acquired free of charge, within the five years preceding the transfer, a participation that was constituting a Substantial Participation in the hands of the alienator (or the alienators in case of successive transfers free of charge within the same five-year period). Capital gains realized on a Substantial Participation more than six months after the acquisition thereof are taxed according to the half-global rate method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average rate applicable to the total income is calculated according to progressive income tax rates and half of the average rate is applied to the capital gains realized on the Substantial Participation).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gains realized on the disposal of the ordinary shares by resident individual holders, who act in the course of their professional/business activity, are subject to income tax at ordinary rates. Taxable gains are determined as being the difference between the price for which the ordinary shares have been disposed of and the lower of their cost or book value.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Luxembourg Resident Companies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Dividends and other payments derived from the ordinary shares held by Luxembourg resident fully taxable companies are subject to income taxes, unless the conditions of the participation exemption regime, as described below, are satisfied. A tax credit is generally granted for withholding taxes levied at source within the limit of the tax payable in Luxembourg on such income, whereby any excess withholding tax is not refundable (but may be deductible under certain conditions). If the conditions of the participation exemption regime are not met, 50% of the dividends distributed by Alvotech to a Luxembourg fully taxable resident company are nevertheless exempt from income taxes.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dividends derived from the ordinary shares may be exempt from CIT and MBT at the level of the holder if (i) the holder is an Eligible Parent and (ii) at the time the dividend is put at the holder’s disposal, the latter holds or commits itself to hold for an uninterrupted period of at least 12 months a shareholding representing a direct participation of at least 10% in the share capital of Alvotech or a direct participation in Alvotech of an acquisition price of at least €1.2 million. Liquidation proceeds are assimilated to a received dividend and may be exempt under the same conditions. Capital gains realized by a Luxembourg fully-taxable resident company on the disposal of the ordinary shares are subject to income taxes at ordinary rates, unless the conditions of the participation exemption regime, as described below, are satisfied.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capital gains realized on the ordinary shares may be exempt from CIT and MBT (save for the recapture rules) at the level of the holder if cumulatively (i) the holder is a Eligible Parent and (ii) at the time the capital gain is realized, the holder holds or commits itself to hold for an uninterrupted period of at least 12 months shares representing either (a) a direct participation of at least 10% in the share capital of Alvotech or (b) a direct participation in Alvotech of an acquisition price of at least €6 million. Taxable gains are determined as being the difference between the price for which the ordinary shares have been disposed of and the lower of their cost or book value. Under Luxembourg tax law it is debatable to what extent the warrants are eligible for the participation exemption regime although certain case law supports such argumentation in certain circumstances.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purposes of the participation exemption regime, ordinary shares held through a tax transparent entity are considered as being a direct participation proportionally to the percentage held in the net assets of the transparent entity.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Luxembourg Resident Companies Benefiting from a Special Tax Regime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holder of ordinary shares who is a Luxembourg resident company benefiting from a special tax regime, such as (i) a specialized investment fund governed by the amended law of February 13, 2007, (ii) a family wealth management company governed by the amended law of May 11, 2007 (iii) an undertaking for collective investment governed by the amended law of December 17, 2010 or (iv) a reserved alternative investment fund treated as a specialized investment fund for Luxembourg tax purposes and governed by the amended law of July 23, 2016 is exempt from income taxes in Luxembourg and profits derived from the shares are thus not subject to income tax in Luxembourg.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Luxembourg Non-Residents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Non-resident holders of ordinary shares, who have neither a permanent establishment nor a permanent representative in Luxembourg to which or whom the ordinary shares are attributable, are not liable to any Luxembourg income taxes, whether they receive payments of dividends or realize capital gains on the disposal of the ordinary shares, except with respect to capital gains realized on a substantial participation before the acquisition or within the first six months of the acquisition thereof or where the non-resident holder has been a former Luxembourg resident for more than 15 years and has become a non-resident, at the time of transfer, less than five years ago, that are subject to income tax in Luxembourg at ordinary rates (subject to the provisions of any relevant double tax treaty) and except for the withholding tax mentioned above.</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Non-resident holders of ordinary shares having a permanent establishment or a permanent representative in Luxembourg to which or whom the ordinary shares are attributable, must include any income received, as well as any gain realized on the disposal of the ordinary shares, in their taxable income for Luxembourg tax assessment purposes, unless the conditions of the participation exemption regime, as described below, are satisfied. If the conditions of the participation exemption regime are not fulfilled, 50% of the gross amount of dividends received by a Luxembourg</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permanent establishment or permanent representative are however exempt from income taxes. Taxable gains are determined as being the difference between the price for which the ordinary shares have been disposed of and the lower of their cost or book value.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dividends derived from the ordinary shares may be exempt from income taxes if cumulatively (i) the ordinary shares are attributable to a qualified permanent establishment (“Qualified Permanent Establishment”) and (ii) at the time the dividend is put at the disposal of the Qualified Permanent Establishment, it holds or commits itself to hold a Qualified Shareholding in Alvotech. A Qualified Permanent Establishment means (a) a Luxembourg permanent establishment of a company covered by Article 2 of the Parent-Subsidiary Directive, (b) a Luxembourg permanent establishment of a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resident in a State having a double tax treaty with Luxembourg and (c) a Luxembourg permanent establishment of a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or a cooperative company (</w:t>
      </w:r>
      <w:r>
        <w:rPr>
          <w:rFonts w:ascii="Times New Roman" w:cs="Times New Roman" w:eastAsia="Times New Roman" w:hAnsi="Times New Roman"/>
          <w:sz w:val="18"/>
          <w:szCs w:val="18"/>
          <w:i w:val="1"/>
          <w:iCs w:val="1"/>
          <w:color w:val="auto"/>
        </w:rPr>
        <w:t>société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coopérative</w:t>
      </w:r>
      <w:r>
        <w:rPr>
          <w:rFonts w:ascii="Times New Roman" w:cs="Times New Roman" w:eastAsia="Times New Roman" w:hAnsi="Times New Roman"/>
          <w:sz w:val="18"/>
          <w:szCs w:val="18"/>
          <w:color w:val="auto"/>
        </w:rPr>
        <w:t>) resident in a member state of the EEA other than an EU member state. Liquidation proceeds are assimilated to a received dividend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 under the same conditions. ordinary shares held through a tax transparent entity are considered as being a direct participation proportionally to the percentage held in the net assets of the transparent entity.</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capital gains realized on the ordinary shares may be exempt from income taxes (save for the recapture rules) if cumulatively (i) the ordinary shares are attributable to a Qualified Permanent Establishment and (ii) at the time the capital gain is realized, the Qualified Permanent Establishment holds or commits itself to hold for an uninterrupted period of at least 12 months shares representing either (a) a direct participation in the share capital of Alvotech of at least 10% or (b) a direct participation in of an acquisition price of at least €6 million.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Worth Tax</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Luxembourg resident as well as a non-resident who has a permanent establishment or a permanent representative in Luxembourg to which the ordinary shares are attributable, are subject to Luxembourg NWT (subject to the application of the participation exemption regime) on such ordinary shares, except if the holder of ordinary shares is (i) a resident or non-resident individual taxpayer, (ii) a securitization company governed by the amended law of March 22, 2004 on securitization, (iii) a company governed by the amended law of June 15, 2004 on venture capital vehicles, (iv) a professional pension institution governed by the amended law of July 13, 2005, (v) a specialized investment fund governed by the amended law of February 13, 2007,</w:t>
      </w:r>
    </w:p>
    <w:p>
      <w:pPr>
        <w:spacing w:after="0" w:line="3" w:lineRule="exact"/>
        <w:rPr>
          <w:sz w:val="20"/>
          <w:szCs w:val="20"/>
          <w:color w:val="auto"/>
        </w:rPr>
      </w:pPr>
    </w:p>
    <w:p>
      <w:pPr>
        <w:ind w:firstLine="8"/>
        <w:spacing w:after="0" w:line="260" w:lineRule="auto"/>
        <w:tabs>
          <w:tab w:leader="none" w:pos="3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wealth management company governed by the law of May 11, 2007, (vii) an undertaking for collective investment governed by the amended law of December 17, 2010 or (viii) a reserved alternative investment fund governed by the amended law of July 23, 2016.</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(i) a securitization company governed by the amended law of March 22, 2004 on securitization, (ii) a tax-opaque company governed by the amended law of June 15, 2004 on venture capital vehicles (iii) a professional pension institution governed by the amended law dated July 13, 2005 and (iv) a tax-opaque reserved alternative investment fund treated as a venture capital vehicle for Luxembourg tax purposes and governed by the amended law of July 23, 2016 remain subject to the MNWT.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current Luxembourg tax laws, no registration tax or similar tax is in principle payable by the holder of ordinary shares upon the acquisition, holding or disposal of the ordinary shares. However, a fixed or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registration duty may be due upon the registration of the ordinary shares in Luxembourg in the case where the ordinary shares are physically attached to a public deed or to any other document subject to mandatory registration, as well as in the case of a registration of the ordinary shares on a voluntary basis.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inheritance tax is levied on the transfer of the ordinary shares upon death of a holder in cases where the deceased was not a resident of Luxembourg for inheritance tax purposes at the time of his death.</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Gift tax may be due on a gift or donation of the ordinary shares if the gift is recorded in a Luxembourg notarial deed or otherwise registered in Luxembourg.</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Internal Revenue Code of 1986, as amended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alternative minimum tax, the special tax accounting rules under Section 451(b) of the Code, the Medicare contribution tax on net investment income, or any tax considerations that may be relevant to U.S. Holders that are subject to special tax rules, including without limitation:</w:t>
      </w:r>
    </w:p>
    <w:p>
      <w:pPr>
        <w:spacing w:after="0" w:line="18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mutual funds, insurance companies, banks or other financial institutions;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pension or retirement plans;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brokers or dealers in securities or currencies and traders in securities that elect mark-to-market treatment;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trusts or estates;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tax-exempt organizations (including private foundations);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owning (directly, indirectly, or constructively) 10% or more of our stock (by voting power or value);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 corporations, partnerships or other entities or arrangements treated as pass-through entities for U.S. federal income tax purposes and investors in such entities;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p>
      <w:pPr>
        <w:spacing w:after="0" w:line="1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ACQUISTION, OWNERSHIP, AND DISPOSITION OF ORDINARY SHARES IN THEIR PARTICULAR CIRCUMSTANCES.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Distributions on Ordinary Shares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PFIC (as defined below)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ordinary shares and will be treated as described below under “— </w:t>
      </w:r>
      <w:r>
        <w:rPr>
          <w:rFonts w:ascii="Times New Roman" w:cs="Times New Roman" w:eastAsia="Times New Roman" w:hAnsi="Times New Roman"/>
          <w:sz w:val="18"/>
          <w:szCs w:val="18"/>
          <w:i w:val="1"/>
          <w:iCs w:val="1"/>
          <w:color w:val="auto"/>
        </w:rPr>
        <w:t>Sale or Other Taxable Disposition of the Ordinary Shares.</w:t>
      </w:r>
      <w:r>
        <w:rPr>
          <w:rFonts w:ascii="Times New Roman" w:cs="Times New Roman" w:eastAsia="Times New Roman" w:hAnsi="Times New Roman"/>
          <w:sz w:val="18"/>
          <w:szCs w:val="18"/>
          <w:color w:val="auto"/>
        </w:rPr>
        <w:t>” The amount of any such distributions will include any amounts required to be withheld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for the taxable year in which the dividend was paid or in the preceding taxable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U.S. Treasury regulations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passive foreign investment company (“PFIC”) for U.S. federal income tax purposes. A non-U.S. corporation generally will be treated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treated as a PFIC for our taxable year ended December 31, 2025. However,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our market capitalization from time to time, which may fluctuate considerably. As a result, there can be no assurance with respect to our status as a PFIC for any taxable year and the IRS may disagree with our determination of our PFIC status. Our U.S. counsel expresses no opinion with respect to our PFIC status for any taxable year.</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qualified electing fund (“QEF”) election,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224"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PFIC Elections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ordinary shares constitute “marketable stock,” a U.S. Holder may avoid certain adverse PFIC tax consequences discussed above if such U.S. Holder makes a mark-to-market election with respect to its ordinary shares for the first taxable year in which the U.S. Holder holds (or is deemed to hold)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purging election, the U.S. Holder will have a new adjusted tax basis and holding period in ordinary shares solely for purposes of the PFIC rules.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PFIC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VERY COMPLEX. U.S. HOLDERS SHOULD CONSULT THEIR TAX ADVISORS REGARDING THE APPLICATION OF SUCH RULES IN THEIR PARTICULAR CIRCUMSTANCES.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BofA Securities, Inc., Jefferies LLC and Evercore Group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ordinary shares set forth opposite its name below.</w:t>
      </w:r>
    </w:p>
    <w:p>
      <w:pPr>
        <w:spacing w:after="0" w:line="15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0"/>
        </w:trPr>
        <w:tc>
          <w:tcPr>
            <w:tcW w:w="8000" w:type="dxa"/>
            <w:vAlign w:val="bottom"/>
            <w:gridSpan w:val="3"/>
            <w:vMerge w:val="continue"/>
          </w:tcPr>
          <w:p>
            <w:pPr>
              <w:spacing w:after="0"/>
              <w:rPr>
                <w:sz w:val="13"/>
                <w:szCs w:val="13"/>
                <w:color w:val="auto"/>
              </w:rPr>
            </w:pPr>
          </w:p>
        </w:tc>
        <w:tc>
          <w:tcPr>
            <w:tcW w:w="200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of Ordinary Shares</w:t>
            </w:r>
          </w:p>
        </w:tc>
        <w:tc>
          <w:tcPr>
            <w:tcW w:w="0" w:type="dxa"/>
            <w:vAlign w:val="bottom"/>
          </w:tcPr>
          <w:p>
            <w:pPr>
              <w:spacing w:after="0"/>
              <w:rPr>
                <w:sz w:val="1"/>
                <w:szCs w:val="1"/>
                <w:color w:val="auto"/>
              </w:rPr>
            </w:pPr>
          </w:p>
        </w:tc>
      </w:tr>
      <w:tr>
        <w:trPr>
          <w:trHeight w:val="20"/>
        </w:trPr>
        <w:tc>
          <w:tcPr>
            <w:tcW w:w="540" w:type="dxa"/>
            <w:vAlign w:val="bottom"/>
            <w:tcBorders>
              <w:bottom w:val="single" w:sz="8" w:color="E5FFFF"/>
            </w:tcBorders>
          </w:tcPr>
          <w:p>
            <w:pPr>
              <w:spacing w:after="0" w:line="20" w:lineRule="exact"/>
              <w:rPr>
                <w:sz w:val="1"/>
                <w:szCs w:val="1"/>
                <w:color w:val="auto"/>
              </w:rPr>
            </w:pPr>
          </w:p>
        </w:tc>
        <w:tc>
          <w:tcPr>
            <w:tcW w:w="760" w:type="dxa"/>
            <w:vAlign w:val="bottom"/>
            <w:tcBorders>
              <w:bottom w:val="single" w:sz="8" w:color="E5FFFF"/>
            </w:tcBorders>
            <w:shd w:val="clear" w:color="auto" w:fill="000000"/>
          </w:tcPr>
          <w:p>
            <w:pPr>
              <w:spacing w:after="0" w:line="20" w:lineRule="exact"/>
              <w:rPr>
                <w:sz w:val="1"/>
                <w:szCs w:val="1"/>
                <w:color w:val="auto"/>
              </w:rPr>
            </w:pPr>
          </w:p>
        </w:tc>
        <w:tc>
          <w:tcPr>
            <w:tcW w:w="6700" w:type="dxa"/>
            <w:vAlign w:val="bottom"/>
            <w:tcBorders>
              <w:bottom w:val="single" w:sz="8" w:color="E5FFFF"/>
            </w:tcBorders>
          </w:tcPr>
          <w:p>
            <w:pPr>
              <w:spacing w:after="0" w:line="20" w:lineRule="exact"/>
              <w:rPr>
                <w:sz w:val="1"/>
                <w:szCs w:val="1"/>
                <w:color w:val="auto"/>
              </w:rPr>
            </w:pPr>
          </w:p>
        </w:tc>
        <w:tc>
          <w:tcPr>
            <w:tcW w:w="2000" w:type="dxa"/>
            <w:vAlign w:val="bottom"/>
            <w:tcBorders>
              <w:bottom w:val="single" w:sz="8" w:color="0A0A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gridSpan w:val="3"/>
            <w:shd w:val="clear" w:color="auto" w:fill="E5FF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00" w:type="dxa"/>
            <w:vAlign w:val="bottom"/>
            <w:shd w:val="clear" w:color="auto" w:fill="E5FF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7,933,333</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7,933,333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2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6,800,001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0A0A0A"/>
            </w:tcBorders>
          </w:tcPr>
          <w:p>
            <w:pPr>
              <w:jc w:val="right"/>
              <w:spacing w:after="0"/>
              <w:rPr>
                <w:sz w:val="20"/>
                <w:szCs w:val="20"/>
                <w:color w:val="auto"/>
              </w:rPr>
            </w:pPr>
            <w:r>
              <w:rPr>
                <w:rFonts w:ascii="Times New Roman" w:cs="Times New Roman" w:eastAsia="Times New Roman" w:hAnsi="Times New Roman"/>
                <w:sz w:val="18"/>
                <w:szCs w:val="18"/>
                <w:color w:val="auto"/>
              </w:rPr>
              <w:t>22,666,667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0" w:type="dxa"/>
            <w:vAlign w:val="bottom"/>
            <w:tcBorders>
              <w:bottom w:val="single" w:sz="8" w:color="0A0A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ordinary shares sold under the underwriting agreement if any of these ordinary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ordinary shares, subject to prior sale, when, as and if issued to and accepted by them, subject to approval of legal matters by their counsel, including the validity of the ordinary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address of BofA Securities, Inc. is One Bryant Park, New York, New York 10036, the address of Jefferies LLC is 520 Madison Avenue, New York, New York 10022 and the address of Evercore Group L.L.C. is 55 East 52nd Street, New York, New York 10055.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ordinary shares to the public at the public offering price set forth on the cover page of this prospectus supplement and to dealers at that price less a concession not in excess of $0.135 per ordinary share. After the initial offering, the public offering price, concession or any other term of the offering may be changed.</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ordinary shares.</w:t>
      </w:r>
    </w:p>
    <w:p>
      <w:pPr>
        <w:spacing w:after="0" w:line="155"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9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380" w:type="dxa"/>
            <w:vAlign w:val="bottom"/>
            <w:gridSpan w:val="4"/>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228"/>
              <w:spacing w:after="0" w:line="102" w:lineRule="exact"/>
              <w:rPr>
                <w:sz w:val="20"/>
                <w:szCs w:val="20"/>
                <w:color w:val="auto"/>
              </w:rPr>
            </w:pPr>
            <w:r>
              <w:rPr>
                <w:rFonts w:ascii="Times New Roman" w:cs="Times New Roman" w:eastAsia="Times New Roman" w:hAnsi="Times New Roman"/>
                <w:sz w:val="11"/>
                <w:szCs w:val="11"/>
                <w:b w:val="1"/>
                <w:bCs w:val="1"/>
                <w:color w:val="auto"/>
              </w:rPr>
              <w:t>Without Option</w:t>
            </w:r>
          </w:p>
        </w:tc>
        <w:tc>
          <w:tcPr>
            <w:tcW w:w="320" w:type="dxa"/>
            <w:vAlign w:val="bottom"/>
          </w:tcPr>
          <w:p>
            <w:pPr>
              <w:spacing w:after="0"/>
              <w:rPr>
                <w:sz w:val="11"/>
                <w:szCs w:val="11"/>
                <w:color w:val="auto"/>
              </w:rPr>
            </w:pPr>
          </w:p>
        </w:tc>
        <w:tc>
          <w:tcPr>
            <w:tcW w:w="1120" w:type="dxa"/>
            <w:vAlign w:val="bottom"/>
            <w:gridSpan w:val="3"/>
          </w:tcPr>
          <w:p>
            <w:pPr>
              <w:jc w:val="right"/>
              <w:ind w:right="260"/>
              <w:spacing w:after="0" w:line="102" w:lineRule="exact"/>
              <w:rPr>
                <w:sz w:val="20"/>
                <w:szCs w:val="20"/>
                <w:color w:val="auto"/>
              </w:rPr>
            </w:pPr>
            <w:r>
              <w:rPr>
                <w:rFonts w:ascii="Times New Roman" w:cs="Times New Roman" w:eastAsia="Times New Roman" w:hAnsi="Times New Roman"/>
                <w:sz w:val="11"/>
                <w:szCs w:val="11"/>
                <w:b w:val="1"/>
                <w:bCs w:val="1"/>
                <w:color w:val="auto"/>
              </w:rPr>
              <w:t>With Option</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20" w:type="dxa"/>
            <w:vAlign w:val="bottom"/>
            <w:tcBorders>
              <w:top w:val="single" w:sz="8" w:color="auto"/>
            </w:tcBorders>
            <w:gridSpan w:val="3"/>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Share</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40" w:type="dxa"/>
            <w:vAlign w:val="bottom"/>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78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5FFFF"/>
          </w:tcPr>
          <w:p>
            <w:pPr>
              <w:jc w:val="right"/>
              <w:ind w:right="68"/>
              <w:spacing w:after="0"/>
              <w:rPr>
                <w:sz w:val="20"/>
                <w:szCs w:val="20"/>
                <w:color w:val="auto"/>
              </w:rPr>
            </w:pPr>
            <w:r>
              <w:rPr>
                <w:rFonts w:ascii="Times New Roman" w:cs="Times New Roman" w:eastAsia="Times New Roman" w:hAnsi="Times New Roman"/>
                <w:sz w:val="18"/>
                <w:szCs w:val="18"/>
                <w:color w:val="auto"/>
              </w:rPr>
              <w:t>85,000,001</w:t>
            </w:r>
          </w:p>
        </w:tc>
        <w:tc>
          <w:tcPr>
            <w:tcW w:w="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97,750,001.25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0.225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5,100,000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5,865,000.08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40" w:type="dxa"/>
            <w:vAlign w:val="bottom"/>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3.525</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5FFFF"/>
          </w:tcPr>
          <w:p>
            <w:pPr>
              <w:jc w:val="right"/>
              <w:ind w:right="68"/>
              <w:spacing w:after="0"/>
              <w:rPr>
                <w:sz w:val="20"/>
                <w:szCs w:val="20"/>
                <w:color w:val="auto"/>
              </w:rPr>
            </w:pPr>
            <w:r>
              <w:rPr>
                <w:rFonts w:ascii="Times New Roman" w:cs="Times New Roman" w:eastAsia="Times New Roman" w:hAnsi="Times New Roman"/>
                <w:sz w:val="18"/>
                <w:szCs w:val="18"/>
                <w:color w:val="auto"/>
              </w:rPr>
              <w:t>79,900,001</w:t>
            </w:r>
          </w:p>
        </w:tc>
        <w:tc>
          <w:tcPr>
            <w:tcW w:w="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91,885,001.18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40"/>
        <w:spacing w:after="0" w:line="485"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approximately $693,500 and are payable by us. 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Ordinary Shares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3,400,000 additional ordinary shares at the public offering price, less the underwriting discount. If the underwriters exercise this option, each will be obligated, subject to conditions contained in the underwriting agreement, to purchase a number of additional ordinary shares proportionate to that underwriter’s initial amount reflected in the above 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our executive officers, directors and certain securityholders have agreed not to (and will cause any family member not to) sell or transfer any ordinary shares or securities convertible into, exchangeable for, exercisable for, or repayable with ordinary shares, for 90 days after the date of this prospectus supplement without first obtaining the written consent of the representatives. Specifically, we and these other parties have agreed, with certain limited exceptions, not to directly or indirectly</w:t>
      </w:r>
    </w:p>
    <w:p>
      <w:pPr>
        <w:spacing w:after="0" w:line="180" w:lineRule="exact"/>
        <w:rPr>
          <w:sz w:val="20"/>
          <w:szCs w:val="20"/>
          <w:color w:val="auto"/>
        </w:rPr>
      </w:pPr>
    </w:p>
    <w:p>
      <w:pPr>
        <w:ind w:left="980" w:right="280" w:hanging="324"/>
        <w:spacing w:after="0" w:line="281" w:lineRule="auto"/>
        <w:tabs>
          <w:tab w:leader="none" w:pos="9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sell or offer to sell any ordinary shares or related securities currently or hereafter owned either of record or beneficially (as defined in Rule 13d-3 under the Exchange Act),</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enter into any swap,</w:t>
      </w:r>
    </w:p>
    <w:p>
      <w:pPr>
        <w:spacing w:after="0" w:line="224" w:lineRule="exact"/>
        <w:rPr>
          <w:rFonts w:ascii="Arial" w:cs="Arial" w:eastAsia="Arial" w:hAnsi="Arial"/>
          <w:sz w:val="18"/>
          <w:szCs w:val="18"/>
          <w:b w:val="1"/>
          <w:bCs w:val="1"/>
          <w:color w:val="auto"/>
        </w:rPr>
      </w:pPr>
    </w:p>
    <w:p>
      <w:pPr>
        <w:ind w:left="980" w:hanging="324"/>
        <w:spacing w:after="0" w:line="265" w:lineRule="auto"/>
        <w:tabs>
          <w:tab w:leader="none" w:pos="9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ordinary shares or related securities, or cause to be filed a registration statement, prospectus or prospectus supplement (or an amendment or supplement thereto) with respect to any such registration, or</w:t>
      </w:r>
    </w:p>
    <w:p>
      <w:pPr>
        <w:spacing w:after="0" w:line="177" w:lineRule="exact"/>
        <w:rPr>
          <w:rFonts w:ascii="Arial" w:cs="Arial" w:eastAsia="Arial" w:hAnsi="Arial"/>
          <w:sz w:val="18"/>
          <w:szCs w:val="18"/>
          <w:b w:val="1"/>
          <w:bCs w:val="1"/>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publicly announce any intention to do any of the foregoing.</w:t>
      </w:r>
    </w:p>
    <w:p>
      <w:pPr>
        <w:spacing w:after="0" w:line="22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lock-up provision applies to ordinary shares and to securities convertible into or exchangeable or exercisable for or repayable with ordinary shares. It also applies to ordinary shares owned now or acquired later by the parties executing the agreement or for which the party executing the agreement later acquires the power of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are listed on the Nasdaq Global Market and the Nasdaq Iceland Main Market under the symbol “ALVO.”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of the ordinary shares is completed, SEC rules may limit underwriters and selling group members from bidding for and purchasing our ordinary shares. However, the representatives may engage in transactions that stabilize the price of the ordinary shares, such as bids or purchases to peg, fix or maintain that price.</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ordinary shares in the open market. These transactions may include short sales, purchases on the open market to cover positions created by short sales and stabilizing transactions. Short sales involve the sale by the underwriters of a greater number of ordinary shares than they are required to purchase in the offering. “Covered” short sales are sales made in an amount not greater than the underwriters’ option to purchase additional ordinary shares described above. The underwriters may close out any covered short position by either exercising their option to purchase additional ordinary shares or purchasing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granted to them. “Naked” short sales are sales in excess of such option.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the offering.</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right="180"/>
        <w:spacing w:after="0" w:line="282" w:lineRule="auto"/>
        <w:rPr>
          <w:sz w:val="20"/>
          <w:szCs w:val="20"/>
          <w:color w:val="auto"/>
        </w:rPr>
      </w:pPr>
      <w:r>
        <w:rPr>
          <w:rFonts w:ascii="Times New Roman" w:cs="Times New Roman" w:eastAsia="Times New Roman" w:hAnsi="Times New Roman"/>
          <w:sz w:val="18"/>
          <w:szCs w:val="18"/>
          <w:color w:val="auto"/>
        </w:rPr>
        <w:t>Stabilizing transactions consist of various bids for or purchases of ordinary shares made by the underwriters in the open market prior to the completion of the offering.</w:t>
      </w:r>
    </w:p>
    <w:p>
      <w:pPr>
        <w:spacing w:after="0" w:line="16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ordinary shares. In addition, neither we nor any of the underwriters make any representation that the representatives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the ordinary shares on the Nasdaq Global Market in accordance with Rule 103 of Regulation M under the Exchange Act during a period before the commencement of offers or sales of ordinary shares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ordinary shares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w:t>
      </w:r>
    </w:p>
    <w:p>
      <w:pPr>
        <w:ind w:right="280"/>
        <w:spacing w:after="0" w:line="239" w:lineRule="auto"/>
        <w:rPr>
          <w:sz w:val="20"/>
          <w:szCs w:val="20"/>
          <w:color w:val="auto"/>
        </w:rPr>
      </w:pPr>
      <w:r>
        <w:rPr>
          <w:rFonts w:ascii="Times New Roman" w:cs="Times New Roman" w:eastAsia="Times New Roman" w:hAnsi="Times New Roman"/>
          <w:sz w:val="18"/>
          <w:szCs w:val="18"/>
          <w:color w:val="auto"/>
        </w:rPr>
        <w:t>transactions. For example, on June 14, 2024, we entered in an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pursuant to which we may offer and sell our ordinary shares have an aggregate offering price of up to $75.0 million from time to time in at-the-market offerings at prices and on terms to be determined by market conditions at the time of the offering, with Jefferies LLC acting as our sales agent. In connection with this offering, we have terminated the prospectus supplement relating to the “at-the-market” offering and, as such, may not make additional sales under the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until another prospectus supplement is filed with the SEC.</w:t>
      </w:r>
    </w:p>
    <w:p>
      <w:pPr>
        <w:spacing w:after="0" w:line="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ordinary shares have been offered or will be offered pursuant to the offering to the public in that Relevant State prior to the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right="260"/>
        <w:spacing w:after="0" w:line="261" w:lineRule="auto"/>
        <w:rPr>
          <w:sz w:val="20"/>
          <w:szCs w:val="20"/>
          <w:color w:val="auto"/>
        </w:rPr>
      </w:pPr>
      <w:r>
        <w:rPr>
          <w:rFonts w:ascii="Times New Roman" w:cs="Times New Roman" w:eastAsia="Times New Roman" w:hAnsi="Times New Roman"/>
          <w:sz w:val="18"/>
          <w:szCs w:val="18"/>
          <w:color w:val="auto"/>
        </w:rPr>
        <w:t>publication of a prospectus in relation to the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ordinary shares may be made to the public in that Relevant State at any time under the following exemptions under the Prospectus Regulation:</w:t>
      </w:r>
    </w:p>
    <w:p>
      <w:pPr>
        <w:spacing w:after="0" w:line="180"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Each person in a Relevant State who initially acquires any ordinary shares or to whom any offer is made will be deemed to have represented, acknowledged and agreed to and with the Company and the managers that it is a qualified investor within the meaning of the Prospectus Regulation.</w:t>
      </w:r>
    </w:p>
    <w:p>
      <w:pPr>
        <w:spacing w:after="0" w:line="14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managers has been obtained to each such proposed offer or resale.</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the managers and their affiliates will rely upon the truth and accuracy of the foregoing representations, acknowledgements and agreements.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any Relevant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(“UK”), no ordinary shares have been offered or will be offered pursuant to the offering to the public in the UK prior to the publication of a prospectus in relation to the ordinary shares which has been approved by the Financial Conduct Authority in the UK in accordance with the UK Prospectus Regulation and the FSMA, except that offers of ordinary shares may be made to the public in the UK at any time under the following exemptions under the UK Prospectus Regulation and the FSMA:</w:t>
      </w:r>
    </w:p>
    <w:p>
      <w:pPr>
        <w:spacing w:after="0" w:line="180" w:lineRule="exact"/>
        <w:rPr>
          <w:sz w:val="20"/>
          <w:szCs w:val="20"/>
          <w:color w:val="auto"/>
        </w:rPr>
      </w:pPr>
    </w:p>
    <w:p>
      <w:pPr>
        <w:ind w:left="5480" w:right="3040" w:hanging="4500"/>
        <w:spacing w:after="0" w:line="485" w:lineRule="auto"/>
        <w:tabs>
          <w:tab w:leader="none" w:pos="13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 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300" w:right="42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the Issuer or any Manager to publish a prospectus pursuant to Section 85 of the FSMA or Article 3 of the UK Prospectus Regulation or supplement a prospectus pursuant to Article 23 of the UK Prospectus Regulation.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person in the UK who initially acquires any ordinary shares or to whom any offer is made will be deemed to have represented, acknowledged and agreed to and with the Company and the Managers that it is a qualified investor within the meaning of the UK Prospectus Regulation.</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managers has been obtained to each such proposed offer or resale.</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the managers and their affiliates will rely upon the truth and accuracy of the foregoing representations, acknowledgements and agreements.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the UK means the communication in any form and by any means of sufficient information on the terms of the offer and any ordinary shares to be offered so as to enable an investor to decide to purchase or subscribe for any ordinary shares, the expression “UK Prospectus Regulation” means Regulation (EU) 2017/1129 as it forms part of domestic law by virtue of the European Union (Withdrawal) Act 2018, and the expression “FSMA” means the Financial Services and Markets Act 2000.</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ordinary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right="600"/>
        <w:spacing w:after="0" w:line="282" w:lineRule="auto"/>
        <w:rPr>
          <w:sz w:val="20"/>
          <w:szCs w:val="20"/>
          <w:color w:val="auto"/>
        </w:rPr>
      </w:pPr>
      <w:r>
        <w:rPr>
          <w:rFonts w:ascii="Times New Roman" w:cs="Times New Roman" w:eastAsia="Times New Roman" w:hAnsi="Times New Roman"/>
          <w:sz w:val="18"/>
          <w:szCs w:val="18"/>
          <w:color w:val="auto"/>
        </w:rPr>
        <w:t>document nor any other offering or marketing material relating to the ordinary shares or the offering may be publicly distributed or otherwise made publicly available in Switzerland.</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ordinary shares have been or will be filed with or approved by any Swiss regulatory authority. In particular, this document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ordinary shares to which this prospectus supplement relates may be illiquid and/or subject to restrictions on their resale. Prospective purchasers of the ordinary shares offered should conduct their own due diligence on the ordinary shares. If you do not understand the contents of this prospectus supplement you should consult an authorized financial advisor.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ordinary shares without disclosure to investors under Chapter 6D of the Corporations Act.</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ordinary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ordinary shares must observe such Australian on-sale restrictions.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ordinary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right="60"/>
        <w:spacing w:after="0" w:line="258" w:lineRule="auto"/>
        <w:rPr>
          <w:sz w:val="20"/>
          <w:szCs w:val="20"/>
          <w:color w:val="auto"/>
        </w:rPr>
      </w:pPr>
      <w:r>
        <w:rPr>
          <w:rFonts w:ascii="Times New Roman" w:cs="Times New Roman" w:eastAsia="Times New Roman" w:hAnsi="Times New Roman"/>
          <w:sz w:val="18"/>
          <w:szCs w:val="18"/>
          <w:color w:val="auto"/>
        </w:rPr>
        <w:t>constitute an offer to the public within the meaning of that Ordinance. No advertisement, invitation or document relating to the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ordinary shares which are or are intended to be disposed of only to persons outside Hong Kong or only to “professional investors” as defined in the Securities and Futures Ordinance and any rules made under that Ordinance.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ordinary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ordinary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ordinary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ordinary shares are subscribed or purchased under Section 275 of the SFA by a relevant person which is:</w:t>
      </w:r>
    </w:p>
    <w:p>
      <w:pPr>
        <w:spacing w:after="0" w:line="225" w:lineRule="exact"/>
        <w:rPr>
          <w:sz w:val="20"/>
          <w:szCs w:val="20"/>
          <w:color w:val="auto"/>
        </w:rPr>
      </w:pPr>
    </w:p>
    <w:p>
      <w:pPr>
        <w:ind w:left="1840" w:right="80" w:hanging="617"/>
        <w:spacing w:after="0" w:line="276" w:lineRule="auto"/>
        <w:tabs>
          <w:tab w:leader="none" w:pos="18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ind w:left="1840" w:right="80" w:hanging="617"/>
        <w:spacing w:after="0" w:line="260" w:lineRule="auto"/>
        <w:tabs>
          <w:tab w:leader="none" w:pos="1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176" w:lineRule="exact"/>
        <w:rPr>
          <w:sz w:val="20"/>
          <w:szCs w:val="20"/>
          <w:color w:val="auto"/>
        </w:rPr>
      </w:pPr>
    </w:p>
    <w:p>
      <w:pPr>
        <w:ind w:left="1840" w:right="80" w:hanging="617"/>
        <w:spacing w:after="0" w:line="261" w:lineRule="auto"/>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ind w:left="1840" w:hanging="617"/>
        <w:spacing w:after="0"/>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1840" w:hanging="617"/>
        <w:spacing w:after="0"/>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9" w:lineRule="exact"/>
        <w:rPr>
          <w:rFonts w:ascii="Times New Roman" w:cs="Times New Roman" w:eastAsia="Times New Roman" w:hAnsi="Times New Roman"/>
          <w:sz w:val="18"/>
          <w:szCs w:val="18"/>
          <w:color w:val="auto"/>
        </w:rPr>
      </w:pPr>
    </w:p>
    <w:p>
      <w:pPr>
        <w:ind w:left="1840" w:hanging="617"/>
        <w:spacing w:after="0"/>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ordinary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June 16, 2026, we entered into agreements with certain investors in the European Economic Area pursuant to which the investors have agreed to subscribe to an aggregate of 17,826,666 of our ordinary shares in the concurrent private placement, at the public offering price of our ordinary shares in the public offering, for gross proceeds to us of approximately $66.85 million. The shares will be offered solely to professional clients or eligible counterparties falling within article 1(4) of Regulation (EU) 2017/1129.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one of the agreements, we have granted registration rights to one investor in the concurrent private placement (the “Registration Rights Investor”). Specifically, the Registration Rights Investor may, at any time and from time to time, make a written demand for registration under the Securities Act of all or any portion of its subscription shares on any available form of registration statement (a “Demand Registration”), including by way of an underwritten offering with underwriters selected by the Registration Rights Investor and reasonably acceptable to us. We are obligated, using our reasonable best efforts and as expeditiously as possible after receipt of such demand, to prepare and file with the SEC a registration statement covering the resale of the shares and to keep such registration statement effective until all such shares have been disposed of or withdrawn. We are not obligated to effect more than two (2) Demand Registrations in total. We have the right to defer any Demand Registration for up to 60 days in total, or 30 consecutive days, in any 12-month period if our Board of Directors determines in good faith that effecting the registration at that time would be materially detrimental to us and our shareholders. All costs and expenses incurred in connection with a Demand Registration are to be borne by us. We have also agreed to provide certain customary indemnifications to the Registration Rights Investor.</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above or otherwise described in our Annual Report on Form 20-F for the fiscal year ended December 31, 2025 and in our Reports on Form 6-K incorporated by reference into this prospectus supplement and the accompanying prospectus, no reportable material changes have occurred since December 31,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CIVIL LIABILITIES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SECURITIES LAWS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Alvotech is incorporated in Luxembourg and conducts a majority of its operations through its subsidiary, Alvotech hf., an Icelandic legal entity. In addition, some of the members of our board of directors and officers reside outside the United States and a substantial portion of our assets are located in Iceland and elsewhere outside the U.S. Investors may not be able to effect service of process within the United States upon us or these persons or enforce judgments obtained against us or these persons in U.S. courts, including judgments in actions predicated upon the civil liability provisions of the U.S. federal securities laws. Likewise, it also may be difficult for an investor to enforce in U.S. courts judgments obtained against us or these persons in courts located in jurisdictions outside the United States, including judgments predicated upon the civil liability provisions of the U.S. federal securities laws. Awards of punitive damages in actions brought in the United States or elsewhere are generally not enforceable in Luxembourg and Iceland.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there is no treaty in force on the reciprocal recognition and enforcement of judgments in civil and commercial matters between the United States and Luxembourg other than arbitral awards rendered in civil and commercial matters, courts in Luxembourg will not automatically recognize and enforce a final judgment rendered by a U.S. court. A valid judgment obtained from a court of competent jurisdiction in the United States may be entered and enforced through a court of competent jurisdiction in Luxembourg, subject to the applicable enforcement procedures (exequatur) as set out in the relevant provisions of the Luxembourg New Civil Procedure Code and in Luxembourg case law. Pursuant to Luxembourg case law, the granting of exequatur is subject to the following requirements:</w:t>
      </w:r>
    </w:p>
    <w:p>
      <w:pPr>
        <w:spacing w:after="0" w:line="185" w:lineRule="exact"/>
        <w:rPr>
          <w:sz w:val="20"/>
          <w:szCs w:val="20"/>
          <w:color w:val="auto"/>
        </w:rPr>
      </w:pPr>
    </w:p>
    <w:p>
      <w:pPr>
        <w:ind w:left="660" w:hanging="328"/>
        <w:spacing w:after="0" w:line="283"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is final and enforceable (</w:t>
      </w:r>
      <w:r>
        <w:rPr>
          <w:rFonts w:ascii="Times New Roman" w:cs="Times New Roman" w:eastAsia="Times New Roman" w:hAnsi="Times New Roman"/>
          <w:sz w:val="18"/>
          <w:szCs w:val="18"/>
          <w:i w:val="1"/>
          <w:iCs w:val="1"/>
          <w:color w:val="auto"/>
        </w:rPr>
        <w:t>exécutoire</w:t>
      </w:r>
      <w:r>
        <w:rPr>
          <w:rFonts w:ascii="Times New Roman" w:cs="Times New Roman" w:eastAsia="Times New Roman" w:hAnsi="Times New Roman"/>
          <w:sz w:val="18"/>
          <w:szCs w:val="18"/>
          <w:color w:val="auto"/>
        </w:rPr>
        <w:t>) in the United States and has not been fully enforced in the United States and/or in any other jurisdiction;</w:t>
      </w:r>
    </w:p>
    <w:p>
      <w:pPr>
        <w:spacing w:after="0" w:line="158"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must not infringe the exclusive jurisdiction of the Luxembourg courts and there must be a real link (</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caractérisé</w:t>
      </w:r>
      <w:r>
        <w:rPr>
          <w:rFonts w:ascii="Times New Roman" w:cs="Times New Roman" w:eastAsia="Times New Roman" w:hAnsi="Times New Roman"/>
          <w:sz w:val="18"/>
          <w:szCs w:val="18"/>
          <w:color w:val="auto"/>
        </w:rPr>
        <w:t>) between the case and the U.S. court (according to some first instance decisions rendered in Luxembourg, which have not yet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by the Court of Appeal);</w:t>
      </w:r>
    </w:p>
    <w:p>
      <w:pPr>
        <w:spacing w:after="0" w:line="176"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had full jurisdiction over the subject matter leading to the judgment (that is, its jurisdiction was in compliance both with Luxembourg private international law rules and with the applicable domestic U.S. federal or state jurisdictional rules);</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applied to the dispute the substantive law which is designated by the Luxembourg conflict of laws rules or, at least, such court’s order must not contravene the principles underlying those rules (based on recent case law and legal doctrine, it is not certain that this condition would still be required for an exequatur to be granted by a Luxembourg court);</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was granted following proceedings where the counterparty had the opportunity to appear and, if it appeared, to present a defense, and the decision of the foreign court must not have been obtained by fraud, but in compliance with the rights of the defendant;</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acted in accordance with its own procedural laws;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does not contradict an already issued judgment of a Luxembourg court, and</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decisions and the considerations of the U.S. court must not be contrary to Luxembourg international public policy rules (as such term is interpreted under the laws of Luxembourg) or have been given in proceedings of a tax or criminal nature or rendered subsequent to an evasion of Luxembourg law (</w:t>
      </w:r>
      <w:r>
        <w:rPr>
          <w:rFonts w:ascii="Times New Roman" w:cs="Times New Roman" w:eastAsia="Times New Roman" w:hAnsi="Times New Roman"/>
          <w:sz w:val="18"/>
          <w:szCs w:val="18"/>
          <w:i w:val="1"/>
          <w:iCs w:val="1"/>
          <w:color w:val="auto"/>
        </w:rPr>
        <w:t>fraude à la loi</w:t>
      </w:r>
      <w:r>
        <w:rPr>
          <w:rFonts w:ascii="Times New Roman" w:cs="Times New Roman" w:eastAsia="Times New Roman" w:hAnsi="Times New Roman"/>
          <w:sz w:val="18"/>
          <w:szCs w:val="18"/>
          <w:color w:val="auto"/>
        </w:rPr>
        <w:t>). Awards of damages made under civil liabilities provisions of the U.S. federal securities laws, or other</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laws, which are classified by Luxembourg courts as being of a penal or punitive nature (for example, fines or punitive damages), might not be recognized by Luxembourg courts. Ordinarily, an award of monetary damages would not be considered as a penalty, but if the monetary damages include punitive damages, such punitive damages may be considered a penalty and therefore not enforceable in Luxembourg.</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Similarly, as Alvotech hf., a subsidiary of Alvotech, has significant assets in Iceland, investors may seek to enforce judgments obtained in the United States against Alvotech in Iceland. As there is no treaty in force on the reciprocal recognition and enforcement of judgments in civil and commercial matters between the United States and Iceland other than arbitral awards entered in civil and commercial matters, courts in Iceland will not automatically recognize and enforce a final judgment rendered by a U.S. court. Based on recent Icelandic case law, a valid judgment obtained from a court of competent jurisdiction in the United States will not be directly recognized and enforceable in Iceland. Instead, the judgment creditor would need to issue fresh legal proceedings against the judgment debtor in Iceland in which the U.S. judgment would serve as evidence, in addition to other evidence and legal arguments regarding the merits of the case, which will be adjudicated by the Icelandic courts.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original action is brought in Luxembourg or Iceland, without prejudice to specific conflict of law rules, Luxembourg courts or Icelandic courts may refuse to apply the designated law (i) if the choice of such foreign law was not made bona fide or (ii) if the foreign law was not pleaded and proved or</w:t>
      </w:r>
    </w:p>
    <w:p>
      <w:pPr>
        <w:jc w:val="both"/>
        <w:ind w:firstLine="8"/>
        <w:spacing w:after="0" w:line="255" w:lineRule="auto"/>
        <w:tabs>
          <w:tab w:leader="none" w:pos="3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pleaded and proved, such foreign law is contrary to mandatory Luxembourg or Icelandic laws or incompatible with Luxembourg or Icelandic public policy rules. In an action brought in Luxembourg or Iceland on the basis of U.S. federal or state securities laws, Luxembourg courts or Icelandic courts may not have the requisite power to grant the remedies sought. Also, an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may be refused by a Luxembourg court in respect of punitive damages.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practice, Luxembourg courts tend not to review the merits of a foreign judgment, although there is no clear statutory prohibition of such review. A contractual provision allowing the service of process against a party to a service agent could be overridden by Luxembourg or Icelandic statutory provisions allowing the valid serving of process against a party in accordance with applicable laws at the domicile of the party. Further, in the event any proceedings are brought in a Luxembourg court in respect of a monetary obligation payable in a currency other than the Euro, a Luxembourg court would have the power to give judgment as an order to pay the obligation in a currency other than the Euro. However, enforcement of the judgment against any party in Luxembourg would be available only in Euros and, for such purposes, all claims or debts would be converted into Euros. Similarly, in the event any proceedings are brought in an Icelandic court in respect of a monetary obligation payable in a currency other than the Icelandic Krona, an Icelandic court would have the power to give judgment as an order to pay the obligation in the Icelandic Krona.</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actions brought in a Luxembourg court against Alvotech, the members of our board of directors, our officers, or the experts named herein to enforce liabilities based on U.S. federal securities laws may be subject to certain restrictions. In particular, Luxembourg courts generally do not award punitive damages. Litigation in Luxembourg also is subject to rules of procedure that differ from the U.S. rules, including, with respect to the taking and admissibility of evidence, the conduct of the proceedings and the allocation of costs. Proceedings in Luxembourg would have to be conducted in French or German, and all documents submitted to the court would, in principle, have to be translated into French or German. For these reasons, it may be difficult for a U.S. investor to bring an original action in a Luxembourg court predicated upon the civil liability provisions of the U.S. federal securities laws against Alvotech, the members of our board of directors, our officers, or the experts named herein. In addition, even if a judgment against Alvotech, the non-U.S. members of our board of directors, our officers, or the experts named in this Annual Report on Form 20-F based on the civil liability provisions of the U.S. federal securities laws is obtained, a U.S. investor may not be able to enforce it in United States or Luxembourg courts.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directors and officers have entered into, or will enter into, indemnification agreements with Alvotech. Under such agreements, the directors and officers will be entitled to indemnification from Alvotech to the fullest extent permitted by Luxemburg law against liability and expenses reasonably incurred or paid by him or her in connection with any claim, action, suit, or proceeding in which he or she would be involved by virtue of his or her being or having been a director or officer and against amounts paid or incurred by him or her in the settlement thereof. Luxembourg law permits us to keep directors indemnified against any expenses, judgments, fines and amounts paid in connection with liability of a director towards Alvotech or a third-party for management errors i.e., for wrongful acts committed during the execution of the mandate (</w:t>
      </w:r>
      <w:r>
        <w:rPr>
          <w:rFonts w:ascii="Times New Roman" w:cs="Times New Roman" w:eastAsia="Times New Roman" w:hAnsi="Times New Roman"/>
          <w:sz w:val="18"/>
          <w:szCs w:val="18"/>
          <w:i w:val="1"/>
          <w:iCs w:val="1"/>
          <w:color w:val="auto"/>
        </w:rPr>
        <w:t>mandat</w:t>
      </w:r>
      <w:r>
        <w:rPr>
          <w:rFonts w:ascii="Times New Roman" w:cs="Times New Roman" w:eastAsia="Times New Roman" w:hAnsi="Times New Roman"/>
          <w:sz w:val="18"/>
          <w:szCs w:val="18"/>
          <w:color w:val="auto"/>
        </w:rPr>
        <w:t>) granted to the director by Alvotech, except in connection with criminal offenses, gross negligence or fraud. The rights to and obligations of indemnification among or between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Alvotech and any of our current or former directors and officers are generally governed by the laws of Luxembourg and subject to the jurisdiction of the Luxembourg courts, unless such rights or obligations do not relate to or arise out of such persons’ capacities listed above. Although there is doubt as to whether U.S. courts would enforce this indemnification provision in an action brought in the United States under U.S. federal or state securities laws, this provision could make it more difficult to obtain judgments outside Luxembourg or from non-Luxembourg jurisdictions that would apply Luxembourg law against our assets in Luxembourg.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Alvotech USA Inc., 1602 Village Market Blvd., Suite 280, Leesburg, Virginia 20175.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legal matters of U.S. securities law relating to this offering will be passed upon for us by Cooley LLP, Boston, Massachusetts. The validity of the ordinary shares and certain other legal matters as to Luxembourg law will be passed upon for us by Arendt &amp; Medernach, Luxembourg counsel to Alvotech. Certain legal matters in connection with this offering will be passed upon for the underwriters by Paul Hastings LLP, New York, New York, with respect to U.S. federal law, and NautaDutilh, with respect to Luxembourg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Alvotech as of December 31, 2025 and 2024, and for each of the three years in the period ended December 31, 2025, incorporated by reference in this prospectus supplement, and the effectiveness of Alvotech’s internal control over financial reporting have been audited by Deloitte ehf., an independent registered public accounting firm, as stated in their reports which express an unqualified opinion on the financial statements and an adverse opinion on the effectiveness of Alvotech’s internal control over financial reporting. Such financial statements are incorporated by reference in reliance upon the reports of such firm given their authority as experts in accounting and auditing.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offices of Deloitte ehf. are located at Dalvegur 30, 201 Kópavogi, Iceland.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F-3 we filed with the SEC. This prospectus supplement and the accompanying prospectus do not contain all of the information set forth in the registration statement or the exhibits and schedules filed therewith. For further information with respect to us and our securities offered hereby, reference is made to the registration statement and the exhibits and schedules filed therewith.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www.sec.gov.</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maintain a website at www.alvotech.com. We will make available on our website,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 supplement.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it, which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part of this prospectus supplement and information we file later with the SEC will automatically update and supersede this information.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documents we are incorporating by reference as of their respective dates of filing are:</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31, 2026;</w:t>
      </w:r>
    </w:p>
    <w:p>
      <w:pPr>
        <w:spacing w:after="0" w:line="224"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in our Registration Statement on </w:t>
      </w:r>
      <w:hyperlink r:id="rId7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13, 2022, including any amendments or reports filed for the purpose of updating such description, including </w:t>
      </w:r>
      <w:hyperlink r:id="rId80">
        <w:r>
          <w:rPr>
            <w:rFonts w:ascii="Times New Roman" w:cs="Times New Roman" w:eastAsia="Times New Roman" w:hAnsi="Times New Roman"/>
            <w:sz w:val="18"/>
            <w:szCs w:val="18"/>
            <w:u w:val="single" w:color="auto"/>
            <w:color w:val="0000EE"/>
          </w:rPr>
          <w:t>Exhibit 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2025, filed with the SEC on March 31, 2026; and</w:t>
      </w:r>
    </w:p>
    <w:p>
      <w:pPr>
        <w:spacing w:after="0" w:line="177"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Form 6-K dated </w:t>
      </w:r>
      <w:hyperlink r:id="rId81">
        <w:r>
          <w:rPr>
            <w:rFonts w:ascii="Times New Roman" w:cs="Times New Roman" w:eastAsia="Times New Roman" w:hAnsi="Times New Roman"/>
            <w:sz w:val="18"/>
            <w:szCs w:val="18"/>
            <w:u w:val="single" w:color="auto"/>
            <w:color w:val="0000EE"/>
          </w:rPr>
          <w:t>April 30, 2026</w:t>
        </w:r>
      </w:hyperlink>
      <w:r>
        <w:rPr>
          <w:rFonts w:ascii="Times New Roman" w:cs="Times New Roman" w:eastAsia="Times New Roman" w:hAnsi="Times New Roman"/>
          <w:sz w:val="18"/>
          <w:szCs w:val="18"/>
          <w:color w:val="auto"/>
        </w:rPr>
        <w:t xml:space="preserve">, excluding exhibit 99.1 thereto; our report on Form 6-K dated </w:t>
      </w:r>
      <w:hyperlink r:id="rId82">
        <w:r>
          <w:rPr>
            <w:rFonts w:ascii="Times New Roman" w:cs="Times New Roman" w:eastAsia="Times New Roman" w:hAnsi="Times New Roman"/>
            <w:sz w:val="18"/>
            <w:szCs w:val="18"/>
            <w:u w:val="single" w:color="auto"/>
            <w:color w:val="0000EE"/>
          </w:rPr>
          <w:t>May 11, 2026</w:t>
        </w:r>
      </w:hyperlink>
      <w:r>
        <w:rPr>
          <w:rFonts w:ascii="Times New Roman" w:cs="Times New Roman" w:eastAsia="Times New Roman" w:hAnsi="Times New Roman"/>
          <w:sz w:val="18"/>
          <w:szCs w:val="18"/>
          <w:color w:val="auto"/>
        </w:rPr>
        <w:t xml:space="preserve">, excluding exhibit 99.1 thereto; our report on Form 6-K dated </w:t>
      </w:r>
      <w:hyperlink r:id="rId83">
        <w:r>
          <w:rPr>
            <w:rFonts w:ascii="Times New Roman" w:cs="Times New Roman" w:eastAsia="Times New Roman" w:hAnsi="Times New Roman"/>
            <w:sz w:val="18"/>
            <w:szCs w:val="18"/>
            <w:u w:val="single" w:color="auto"/>
            <w:color w:val="0000EE"/>
          </w:rPr>
          <w:t>June 4, 2026</w:t>
        </w:r>
      </w:hyperlink>
      <w:r>
        <w:rPr>
          <w:rFonts w:ascii="Times New Roman" w:cs="Times New Roman" w:eastAsia="Times New Roman" w:hAnsi="Times New Roman"/>
          <w:sz w:val="18"/>
          <w:szCs w:val="18"/>
          <w:color w:val="auto"/>
        </w:rPr>
        <w:t xml:space="preserve">, excluding exhibits 99.1 and 99.2 thereto; our report on Form 6-K dated </w:t>
      </w:r>
      <w:hyperlink r:id="rId84">
        <w:r>
          <w:rPr>
            <w:rFonts w:ascii="Times New Roman" w:cs="Times New Roman" w:eastAsia="Times New Roman" w:hAnsi="Times New Roman"/>
            <w:sz w:val="18"/>
            <w:szCs w:val="18"/>
            <w:u w:val="single" w:color="auto"/>
            <w:color w:val="0000EE"/>
          </w:rPr>
          <w:t>June 8, 2026</w:t>
        </w:r>
      </w:hyperlink>
      <w:r>
        <w:rPr>
          <w:rFonts w:ascii="Times New Roman" w:cs="Times New Roman" w:eastAsia="Times New Roman" w:hAnsi="Times New Roman"/>
          <w:sz w:val="18"/>
          <w:szCs w:val="18"/>
          <w:color w:val="auto"/>
        </w:rPr>
        <w:t xml:space="preserve"> (excluding exhibit 99.1 and exhibit 99.2 and including exhibit 99.3 thereto); and our report on </w:t>
      </w:r>
      <w:hyperlink r:id="rId85">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dated June 15, 2026.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2139315</wp:posOffset>
            </wp:positionH>
            <wp:positionV relativeFrom="paragraph">
              <wp:posOffset>-1246505</wp:posOffset>
            </wp:positionV>
            <wp:extent cx="361759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3617595" cy="128905"/>
                    </a:xfrm>
                    <a:prstGeom prst="rect">
                      <a:avLst/>
                    </a:prstGeom>
                    <a:noFill/>
                  </pic:spPr>
                </pic:pic>
              </a:graphicData>
            </a:graphic>
          </wp:anchor>
        </w:drawing>
      </w:r>
    </w:p>
    <w:p>
      <w:pPr>
        <w:spacing w:after="0" w:line="157" w:lineRule="exact"/>
        <w:rPr>
          <w:rFonts w:ascii="Times New Roman" w:cs="Times New Roman" w:eastAsia="Times New Roman" w:hAnsi="Times New Roman"/>
          <w:sz w:val="18"/>
          <w:szCs w:val="18"/>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20-F and all subsequent reports on Form 6-K filed by us, that are identified by us as being incorporated by reference into the registration statement of which this prospectus supplement forms a part, shall be deemed to be incorporated by reference into this prospectus supplement and deemed to be a part hereof after the date of this prospectus supplement but before the termination of the offering under this prospectus supplement. Unless expressly incorporated by reference, nothing in this prospectus supplement shall be deemed to incorporate by reference information furnished to, but not filed with, the SEC.</w:t>
      </w:r>
    </w:p>
    <w:p>
      <w:pPr>
        <w:spacing w:after="0" w:line="183"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all purposes to the extent that a statement contained in this prospectus supplement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supplement.</w:t>
      </w:r>
    </w:p>
    <w:p>
      <w:pPr>
        <w:spacing w:after="0" w:line="180"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Alvotech</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 Rue de Bitbourg,</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L-1273 Luxembourg,</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Grand Duchy of Luxembourg</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+354 422 4500</w:t>
      </w:r>
    </w:p>
    <w:p>
      <w:pPr>
        <w:spacing w:after="0" w:line="205" w:lineRule="exact"/>
        <w:rPr>
          <w:rFonts w:ascii="Times New Roman" w:cs="Times New Roman" w:eastAsia="Times New Roman" w:hAnsi="Times New Roman"/>
          <w:sz w:val="18"/>
          <w:szCs w:val="18"/>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addition, copies of the documents incorporated herein by reference may be accessed at our website at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The reference to our website address does not constitute incorporation by reference of the information contained on or accessible through our website, and you should not consider the contents of our website in making an investment decision with respect to our securities.</w:t>
      </w:r>
    </w:p>
    <w:p>
      <w:pPr>
        <w:spacing w:after="0" w:line="135"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firstLine="324"/>
        <w:spacing w:after="0" w:line="282"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9987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14998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Rights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our ordinary shares, debt securities, warrants, rights and units comprising any combination of these securities having an aggregate offering price up to $100,000,000. These securities may be offered individually or in any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time we sell securities pursuant to this prospectus, we will provide in a supplement to this prospectus the price and any other material terms of any such offering and the securities offered. Any prospectus supplement may also add, update or change information contained in the prospectus. You should read this prospectus and any applicable prospectus supplement, as well as the documents incorporated by reference or deemed incorporated by reference into this prospectus, carefully before you invest in any securities.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(“Nasdaq”) and the Nasdaq Main Market in Iceland (“Nasdaq Iceland Main Market”) under the symbol “ALVO.” On October 19, 2023, the closing price of our ordinary shares on Nasdaq was $8.85. The applicable prospectus supplement will contain information, where applicable, as to any other listing, if any, on the Nasdaq or any securities market or other securities exchange of the securities covered by the prospectus supplement. There is currently no market through which debt securities, warrants, rights or units may be sold and purchasers may not be able to resell debt securities, warrants, rights or units purchased under this prospectus. This may affect the pricing of any debt securities, warrants, rights or units in the secondary market, the transparency and availability of trading prices, the liquidity of the debt securities, warrants, rights or units and the extent of issuer regulation. Prospective purchasers of our securities are urged to obtain current information as to the market prices of our securities, where applicable.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“foreign private issuer” under applicable Securities and Exchange Commission (the “SEC”) rules and an “emerging growth company” as that term is defined in the Jumpstart Our Business Startups Act of 2012 (the “JOBS Act”) and are eligible for reduced public company disclosure requirements.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securities unless it is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5 OF THIS PROSPECTUS AND ANY RISK FACTORS DESCRIBED IN ANY APPLICABLE PROSPECTUS SUPPLEMENT AND IN OUR SEC FILINGS THAT ARE INCORPORATED BY REFERENCE IN THIS PROSPECTUS.</w:t>
      </w:r>
    </w:p>
    <w:p>
      <w:pPr>
        <w:spacing w:after="0" w:line="17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Owning our securities may subject you to tax consequences both in Luxembourg and in the United States. This prospectus and any applicable prospectus supplement may not describe these tax consequences fully. You should read the tax discussion in any applicable prospectus supplement. In addition, your ability to enforce civil liabilities under U.S. federal securities laws may be affected adversely by the fact that we are incorporated under the laws of the Grand Duchy of Luxembourg, many of the members of our board of directors and executive management, and experts named in this prospectus, are residents of jurisdictions outside of the United States, and a substantial portion of our assets and the assets of such persons are located outside the United States. See “</w:t>
      </w:r>
      <w:r>
        <w:rPr>
          <w:rFonts w:ascii="Times New Roman" w:cs="Times New Roman" w:eastAsia="Times New Roman" w:hAnsi="Times New Roman"/>
          <w:sz w:val="18"/>
          <w:szCs w:val="18"/>
          <w:b w:val="1"/>
          <w:bCs w:val="1"/>
          <w:i w:val="1"/>
          <w:iCs w:val="1"/>
          <w:color w:val="auto"/>
        </w:rPr>
        <w:t>Service of Process and Enforcement of Civil Liabilities Under U.S. Securities Laws.</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or other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2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5960" w:type="dxa"/>
            <w:vAlign w:val="bottom"/>
            <w:gridSpan w:val="10"/>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412"/>
        </w:trPr>
        <w:tc>
          <w:tcPr>
            <w:tcW w:w="21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6100" w:type="dxa"/>
            <w:vAlign w:val="bottom"/>
            <w:gridSpan w:val="12"/>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940" w:type="dxa"/>
            <w:vAlign w:val="bottom"/>
            <w:gridSpan w:val="1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8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00" w:type="dxa"/>
            <w:vAlign w:val="bottom"/>
            <w:gridSpan w:val="2"/>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OFFER AND LISTING DETAILS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5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5680" w:type="dxa"/>
            <w:vAlign w:val="bottom"/>
            <w:gridSpan w:val="8"/>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SHARE CAPITAL AND ARTICLES OF ASSOCIATION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304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660" w:type="dxa"/>
            <w:vAlign w:val="bottom"/>
            <w:tcBorders>
              <w:top w:val="single" w:sz="8" w:color="0000EE"/>
            </w:tcBorders>
            <w:gridSpan w:val="4"/>
          </w:tcPr>
          <w:p>
            <w:pPr>
              <w:spacing w:after="0"/>
              <w:rPr>
                <w:sz w:val="24"/>
                <w:szCs w:val="24"/>
                <w:color w:val="auto"/>
              </w:rPr>
            </w:pPr>
          </w:p>
        </w:tc>
        <w:tc>
          <w:tcPr>
            <w:tcW w:w="2500" w:type="dxa"/>
            <w:vAlign w:val="bottom"/>
            <w:gridSpan w:val="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24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DESCRIPTION OF RIGHTS</w:t>
            </w:r>
          </w:p>
        </w:tc>
        <w:tc>
          <w:tcPr>
            <w:tcW w:w="5720" w:type="dxa"/>
            <w:vAlign w:val="bottom"/>
            <w:gridSpan w:val="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21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6060" w:type="dxa"/>
            <w:vAlign w:val="bottom"/>
            <w:gridSpan w:val="11"/>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TAXATION</w:t>
            </w:r>
          </w:p>
        </w:tc>
        <w:tc>
          <w:tcPr>
            <w:tcW w:w="1100" w:type="dxa"/>
            <w:vAlign w:val="bottom"/>
            <w:tcBorders>
              <w:top w:val="single" w:sz="8" w:color="0000EE"/>
            </w:tcBorders>
            <w:gridSpan w:val="4"/>
          </w:tcPr>
          <w:p>
            <w:pPr>
              <w:spacing w:after="0"/>
              <w:rPr>
                <w:sz w:val="24"/>
                <w:szCs w:val="24"/>
                <w:color w:val="auto"/>
              </w:rPr>
            </w:pPr>
          </w:p>
        </w:tc>
        <w:tc>
          <w:tcPr>
            <w:tcW w:w="6180" w:type="dxa"/>
            <w:vAlign w:val="bottom"/>
            <w:gridSpan w:val="1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2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PLAN OF DISTRIBUTION</w:t>
            </w:r>
          </w:p>
        </w:tc>
        <w:tc>
          <w:tcPr>
            <w:tcW w:w="6140" w:type="dxa"/>
            <w:vAlign w:val="bottom"/>
            <w:gridSpan w:val="1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EXPENSES</w:t>
            </w:r>
          </w:p>
        </w:tc>
        <w:tc>
          <w:tcPr>
            <w:tcW w:w="7300" w:type="dxa"/>
            <w:vAlign w:val="bottom"/>
            <w:gridSpan w:val="1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82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SERVICE OF PROCESS AND ENFORCEMENT OF CIVIL LIABILITIES UNDER U.S. SECURITIES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4"/>
          </w:tcPr>
          <w:p>
            <w:pPr>
              <w:spacing w:after="0"/>
              <w:rPr>
                <w:sz w:val="24"/>
                <w:szCs w:val="24"/>
                <w:color w:val="auto"/>
              </w:rPr>
            </w:pPr>
          </w:p>
        </w:tc>
        <w:tc>
          <w:tcPr>
            <w:tcW w:w="6740" w:type="dxa"/>
            <w:vAlign w:val="bottom"/>
            <w:gridSpan w:val="16"/>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82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INFORMATION INCORPORATED BY REFERENCE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7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304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using a “shelf” registration process. Under this shelf registration process, we may from time to time sell ordinary shares, debt securities, warrants, rights or units comprising any combination of these securities, in one or more offerings up to a total dollar amount of $100,000,000. We have provided to you in this prospectus a general description of the securities we may offer.</w:t>
      </w:r>
    </w:p>
    <w:p>
      <w:pPr>
        <w:spacing w:after="0" w:line="15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Each time we sell securities, we will, to the extent required by law, provide a prospectus supplement that will contain specific information about the terms of the offering. We may also add, update or change in any accompanying prospectus supplement or any free writing prospectus we may authorize to be delivered to you any of the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 This prospectus, together with any accompanying prospectus supplement and any free writing prospectus we may authorize to be delivered to you, includes all material information relating to the offering of our securities.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stated or the context otherwise requires, references to “Alvotech,” “the Company,” “we,” “us,” “our” and similar references refer to Alvotech and our wholly owned subsidiary, Alvotech hf.</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accompanying prospectus supplement or any “free writing prospectus” we may authorize to be delivered to you. Neither we, nor any agent, underwriter or dealer has authorized anyone to provide you with different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You should assume that the information appearing in this prospectus, any prospectus supplement and the documents incorporated by reference herein and therein are accurate only as of their respective dates. Our business, financial condition, results of operations and prospects may have changed since those dates.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Neither this prospectus nor any accompanying prospectus supplement shall constitute an offer or solicitation by anyone in any jurisdiction in which such offer or solicitation is not authorized or in which the person making such offer or solicitation is not qualified to do so or to anyone to whom it is unlawful to make such offer or solicitation.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6562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material information included or incorporated by reference in this prospectus. This summary does not contain all of the information you should consider before investing in our securities. Before making an investment decision, you should read this entire prospectus carefully, especially “Risk Factors” and the financial statements and related notes thereto, together with the additional information about us described in the sections entitled “Where You Can Find More Information” and “Information Incorporated by Reference,” and the documents incorporated by reference in this prospectus. Some of the statements in this prospectus constitute forward-looking statements that involve risks and uncertainties. See “Cautionary Note Regarding Forward-Looking Statements” for more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vertically integrated biotech company focused solely on the development and manufacture of biosimilar medicines for patients worldwide. Our purpose is to improve the health and quality of life of patients around the world by improving access to proven treatments for various diseases. Since our inception, we have built our company with key characteristics we believe will help us capture the substantial global market opportunity in biosimilars: a leadership team that has brought numerous successful biologics and biosimilars to market around the world; a purpose-built biosimilars R&amp;D and manufacturing platform; commercial partnerships in global markets; and a diverse, expanding portfolio and pipeline addressing many of the biggest disease areas and health challenges globally.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built a pipeline comprising eight disclosed biosimilar products covering a variety of therapeutic areas, including immunology, ophthalmology, bone disease and cancer:</w:t>
      </w:r>
    </w:p>
    <w:p>
      <w:pPr>
        <w:spacing w:after="0" w:line="162" w:lineRule="exact"/>
        <w:rPr>
          <w:sz w:val="20"/>
          <w:szCs w:val="20"/>
          <w:color w:val="auto"/>
        </w:rPr>
      </w:pPr>
    </w:p>
    <w:p>
      <w:pPr>
        <w:jc w:val="both"/>
        <w:ind w:left="640" w:hanging="315"/>
        <w:spacing w:after="0" w:line="252" w:lineRule="auto"/>
        <w:tabs>
          <w:tab w:leader="none" w:pos="64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Our biologics license application (“BLA”) supporting biosimilarity for AVT02, a biosimilar to Humira® (adalimumab), was filed with the FDA in 2020, and our BLA supporting interchangeability was accepted for review in February 2022. In September 2022, we announced that we had received communication from the FDA, which included a complete response letter (“CRL”) detailing its assessment of the March 2022 inspection of our manufacturing facility in Reykjavik, Iceland and our subsequent written responses to the FDA (the “August 2022 CRL”). The FDA’s August 2022 CRL to the initial biosimilar BLA for AVT02 noted certain deficiencies related to the Reykjavik facility and stated that satisfactory resolution of the deficiencies is required before FDA may approve this first-filed BLA. In December 2022, we received a CRL from the FDA regarding the interchangeability BLA (the “December 2022 CRL”). Under this December 2022 CRL, correction of the same deficiencies identified in the August 2022 CRL with respect to the manufacturing facility is required for approval of the interchangeability BLA. In April 2023, the FDA issued another CRL regarding the initial biosimilar (the “April 2023 CRL”). </w:t>
      </w:r>
      <w:r>
        <w:rPr>
          <w:rFonts w:ascii="Times New Roman" w:cs="Times New Roman" w:eastAsia="Times New Roman" w:hAnsi="Times New Roman"/>
          <w:sz w:val="18"/>
          <w:szCs w:val="18"/>
          <w:color w:val="auto"/>
          <w:highlight w:val="white"/>
        </w:rPr>
        <w:t>The April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2023 CRL noted that certain deficiencies conveyed following the FDA’s recent reinspection of the Reykjavik facility in March 2023 (the “March 2023 Inspection”) must be satisfactorily resolved before the application may be approved. </w:t>
      </w:r>
      <w:r>
        <w:rPr>
          <w:rFonts w:ascii="Times New Roman" w:cs="Times New Roman" w:eastAsia="Times New Roman" w:hAnsi="Times New Roman"/>
          <w:sz w:val="18"/>
          <w:szCs w:val="18"/>
          <w:color w:val="auto"/>
        </w:rPr>
        <w:t>In June 2023, the FDA issued another</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CRL regarding the interchangeability BLA (the “June 2023 CRL”). The June 2023 CRL noted that the deficiencies previously conveyed following the March 2023 Inspection must be resolved before a BLA application may be approved. </w:t>
      </w:r>
      <w:r>
        <w:rPr>
          <w:rFonts w:ascii="Times New Roman" w:cs="Times New Roman" w:eastAsia="Times New Roman" w:hAnsi="Times New Roman"/>
          <w:sz w:val="18"/>
          <w:szCs w:val="18"/>
          <w:color w:val="auto"/>
          <w:highlight w:val="white"/>
        </w:rPr>
        <w:t>Following the June 2023 CRL,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resubmitted the BLA for AVT02 and, in September 2023, we announced that the FDA had accepted our resubmitted BLA with a February 24, 2024 Biosimilar User Fee Act (BsUFA) goal date. The FDA also indicated that our resubmission is considered to be a complete response to the June 2023 CRL. </w:t>
      </w:r>
      <w:r>
        <w:rPr>
          <w:rFonts w:ascii="Times New Roman" w:cs="Times New Roman" w:eastAsia="Times New Roman" w:hAnsi="Times New Roman"/>
          <w:sz w:val="18"/>
          <w:szCs w:val="18"/>
          <w:color w:val="auto"/>
        </w:rPr>
        <w:t>Since 2021, we, directly or through our partners, received regulatory approval for AVT02 in the EEA, the UK,</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Switzerland, Canada, Australia and Saudi Arabia, and dossiers are under review in multiple countries.</w:t>
      </w:r>
    </w:p>
    <w:p>
      <w:pPr>
        <w:spacing w:after="0" w:line="192" w:lineRule="exact"/>
        <w:rPr>
          <w:rFonts w:ascii="Arial" w:cs="Arial" w:eastAsia="Arial" w:hAnsi="Arial"/>
          <w:sz w:val="18"/>
          <w:szCs w:val="18"/>
          <w:b w:val="1"/>
          <w:bCs w:val="1"/>
          <w:color w:val="auto"/>
        </w:rPr>
      </w:pPr>
    </w:p>
    <w:p>
      <w:pPr>
        <w:jc w:val="both"/>
        <w:ind w:left="640" w:hanging="315"/>
        <w:spacing w:after="0" w:line="255" w:lineRule="auto"/>
        <w:tabs>
          <w:tab w:leader="none" w:pos="64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AVT04, a proposed biosimilar to Stelara® (ustekinumab), we reported positive topline results from two clinical studies in May 2022. In January 2023, we announced that the FDA had accepted for review a BLA for AVT04. We anticipate that the FDA’s review will be completed in the second half of 2023. In February 2023, we announced that the EMA had accepted a Marketing Authorization Application for AVT04. We, directly or indirectly through our partners, also submitted marketing applications for AVT04 in Japan and Canada in the second half of 2022. In September 2023, we announced that our commercialization partner in Japan, Fuji Pharma Co., Ltd., received marketing approval for AVT04 from the Japanese Ministry of Health, Labor and Welfare. In October 2023, we announced that we had received a CRL from the FDA which states</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603" w:right="539" w:bottom="1440" w:gutter="0" w:footer="0" w:header="0"/>
        </w:sectPr>
      </w:pPr>
    </w:p>
    <w:bookmarkStart w:id="52" w:name="page53"/>
    <w:bookmarkEnd w:id="52"/>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6973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136130" cy="6697345"/>
                    </a:xfrm>
                    <a:prstGeom prst="rect">
                      <a:avLst/>
                    </a:prstGeom>
                    <a:noFill/>
                  </pic:spPr>
                </pic:pic>
              </a:graphicData>
            </a:graphic>
          </wp:anchor>
        </w:drawing>
        <w:t>that our BLA for AVT04 cannot be approved until the deficiencies conveyed following the March 2023 Inspection have been satisfactorily resolved. No other deficiencies in the BLA for AVT04 were noted by the FDA. In June 2023, Alvotech and Teva, the exclusive commercialization partner for AVT04 in the U.S., reached a settlement and license agreement with Johnson &amp; Johnson, that grants an entry date for AVT04 in the U.S. no later than February 21, 2025.</w:t>
      </w:r>
    </w:p>
    <w:p>
      <w:pPr>
        <w:spacing w:after="0" w:line="180" w:lineRule="exact"/>
        <w:rPr>
          <w:sz w:val="20"/>
          <w:szCs w:val="20"/>
          <w:color w:val="auto"/>
        </w:rPr>
      </w:pPr>
    </w:p>
    <w:p>
      <w:pPr>
        <w:jc w:val="both"/>
        <w:ind w:left="640" w:hanging="315"/>
        <w:spacing w:after="0" w:line="260" w:lineRule="auto"/>
        <w:tabs>
          <w:tab w:leader="none" w:pos="64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in the earlier stages of development for our other lead product candidates, namely AVT03, a biosimilar candidate to Prolia/Xgeva® (denosumab) for which we initiated clinical studies in July 2022, AVT05, a biosimilar candidate to Simponi® and Simponi Aria®</w:t>
      </w:r>
    </w:p>
    <w:p>
      <w:pPr>
        <w:spacing w:after="0" w:line="1"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(golimumab) for which we initiated a pharmacokinetic (PK) study in December 2022 and a confirmatory patient study in May 2023, AVT06, a biosimilar candidate to Eylea® (aflibercept) for which we initiated a clinical study in July 2022, and AVT23, a biosimilar candidate to Xolair® (omalizumab). We have an exclusive licensing agreement with Kashiv Biosciences LLC, which will develop and manufacture AVT23. A PK study for AVT23 has been completed and a confirmatory patient study has recently been initiated.</w:t>
      </w:r>
    </w:p>
    <w:p>
      <w:pPr>
        <w:spacing w:after="0" w:line="188"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highlight w:val="white"/>
        </w:rPr>
        <w:t>AVT16, a biosimilar candidate to Entyvio® (vedolizumab) and AVT33, a biosimilar candidate to Keytruda® (pembrolizumab), are in preclinical development.</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highlight w:val="white"/>
        </w:rPr>
        <w:t>AVT19, AVT28 and AVT41 are biosimilar candidates in early phase development. Further information about the reference biologic and therapeutic area have not been disclosed publicly.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commercialize our products, we have formed strategic commercialization partnerships with 18 leading pharmaceutical companies covering over 90 markets globally. We license our intellectual property to these partners in exchange for milestone payments and royalties on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Alvotech is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under the laws of the Grand Duchy of Luxembourg on August 23, 2021, having its registered office at 9, Rue de Bitbourg L-1273 Luxembourg, Grand Duchy of Luxembourg and registered with the Luxembourg Trade and Company Register (</w:t>
      </w:r>
      <w:r>
        <w:rPr>
          <w:rFonts w:ascii="Times New Roman" w:cs="Times New Roman" w:eastAsia="Times New Roman" w:hAnsi="Times New Roman"/>
          <w:sz w:val="18"/>
          <w:szCs w:val="18"/>
          <w:i w:val="1"/>
          <w:iCs w:val="1"/>
          <w:color w:val="auto"/>
        </w:rPr>
        <w:t>Registre de Commerce et des Sociétés, Luxembourg</w:t>
      </w:r>
      <w:r>
        <w:rPr>
          <w:rFonts w:ascii="Times New Roman" w:cs="Times New Roman" w:eastAsia="Times New Roman" w:hAnsi="Times New Roman"/>
          <w:sz w:val="18"/>
          <w:szCs w:val="18"/>
          <w:color w:val="auto"/>
        </w:rPr>
        <w:t>) under number B258884. Our agent for service of process in the United States is Alvotech USA Inc., 1201 Wilson Blvd., Ste. 2130, Arlington, Virginia 22209.</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information statements and other information regarding issuers that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Alvotech’s principal website address is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We do not incorporate the information contained on, or accessible through, Alvotech’s websites into this prospectus, and you should not consider it a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qualifies as an “emerging growth company” as defined in the JOBS Act. As an “emerging growth company,” Alvotech may take advantage of certain exemptions from specified disclosure and other requirements that are otherwise generally applicable to public companies. These exemptions include:</w:t>
      </w:r>
    </w:p>
    <w:p>
      <w:pPr>
        <w:spacing w:after="0" w:line="176" w:lineRule="exact"/>
        <w:rPr>
          <w:sz w:val="20"/>
          <w:szCs w:val="20"/>
          <w:color w:val="auto"/>
        </w:rPr>
      </w:pPr>
    </w:p>
    <w:p>
      <w:pPr>
        <w:ind w:left="640" w:hanging="315"/>
        <w:spacing w:after="0" w:line="281" w:lineRule="auto"/>
        <w:tabs>
          <w:tab w:leader="none" w:pos="64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 being required to comply with the auditor attestation requirements for the assessment of our internal control over financial reporting provided by Section 404 of the Sarbanes-Oxley Act of 2002 (the “Sarbanes-Oxley Act”);</w:t>
      </w:r>
    </w:p>
    <w:p>
      <w:pPr>
        <w:spacing w:after="0" w:line="162" w:lineRule="exact"/>
        <w:rPr>
          <w:rFonts w:ascii="Arial" w:cs="Arial" w:eastAsia="Arial" w:hAnsi="Arial"/>
          <w:sz w:val="18"/>
          <w:szCs w:val="18"/>
          <w:b w:val="1"/>
          <w:bCs w:val="1"/>
          <w:color w:val="auto"/>
        </w:rPr>
      </w:pPr>
    </w:p>
    <w:p>
      <w:pPr>
        <w:ind w:left="640" w:hanging="315"/>
        <w:spacing w:after="0"/>
        <w:tabs>
          <w:tab w:leader="none" w:pos="64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4"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 being required to hold a nonbinding advisory vote on executive compensation or seek shareholder approval of any golden parachute payments not previously approved.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Alvotech may take advantage of these reporting exemptions until it is no longer an “emerging growth company.”</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53" w:name="page54"/>
    <w:bookmarkEnd w:id="5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834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136130" cy="6834505"/>
                    </a:xfrm>
                    <a:prstGeom prst="rect">
                      <a:avLst/>
                    </a:prstGeom>
                    <a:noFill/>
                  </pic:spPr>
                </pic:pic>
              </a:graphicData>
            </a:graphic>
          </wp:anchor>
        </w:drawing>
        <w:t>Alvotech is also considered a “foreign private issuer” and will report under the Securities Exchange Act of 1934 (as amended, the “Exchange Act”) as a non-U.S. company with “foreign private issuer” status. This means that, even after Alvotech no longer qualifies as an “emerging growth company,” as long as it qualifies as a “foreign private issuer” under the Exchange Act, it will be exempt from certain provisions of the Exchange Act that are applicable to U.S. public companies, including:</w:t>
      </w:r>
    </w:p>
    <w:p>
      <w:pPr>
        <w:spacing w:after="0" w:line="180" w:lineRule="exact"/>
        <w:rPr>
          <w:sz w:val="20"/>
          <w:szCs w:val="20"/>
          <w:color w:val="auto"/>
        </w:rPr>
      </w:pPr>
    </w:p>
    <w:p>
      <w:pPr>
        <w:ind w:left="640" w:hanging="315"/>
        <w:spacing w:after="0" w:line="281" w:lineRule="auto"/>
        <w:tabs>
          <w:tab w:leader="none" w:pos="6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Alvotech may take advantage of these reporting exemptions until such time that it is no longer a “foreign private issuer.” Alvotech could lose its status as a “foreign private issuer” under current SEC rules and regulations if more than 50% of Alvotech’s outstanding voting securities become directly or indirectly held of record by U.S. holders and any one of the following is true: (i) the majority of Alvotech’s directors or executive officers are U.S. citizens or residents; (ii) more than 50% of Alvotech’s assets are located in the United States; or (iii) Alvotech’s business is administered principally in the United States.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may choose to take advantage of some but not all of these reduced burdens. Alvotech has taken advantage of reduced reporting requirements in this prospectus. Accordingly, the information contained in this prospectus may be different from the information you receive from Alvotech’s competitors that are public companies, or other public companies in which you have made an investment.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foreign private issuer, Alvotech is permitted to follow certain Luxembourg corporate governance practices in lieu of certain listing rules of Nasdaq, or Nasdaq Listing Rules. Alvotech plans to follow the corporate governance requirements of the Nasdaq Listing Rules, except that it intends to follow Luxembourg practice with respect to quorum requirements for shareholder meetings in lieu of the requirement under Nasdaq Listing Rules that the quorum be not less than 33 1/3% of the outstanding voting shares. Under Alvotech’s articles of association, at an ordinary general meeting, there is no quorum requirement and resolutions are adopted by a simple majority of validly cast votes. In addition, under Alvotech’s articles of association, for any resolutions to be considered at an extraordinary general meeting of shareholders, the quorum shall be at least one half of our issued share capital unless otherwise mandatorily required by law. In addition, three of Alvotech’s eight directors are independent as defined in Nasdaq listing standards and Alvotech currently has only one director who serves on the compensation committee who meets the heightened independence standards for members of a compensation committee. Finally, Alvotech may choose to take advantage of the exemption from the requirement to obtain shareholder approval for certain issuances of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ordinary shares, debt securities, warrants, rights or units, either individually or in combination with other securities, from time to time at prices and on terms to be determined by market conditions at the time of the offering, with a total aggregate offering price of up to $100,000,000.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54" w:name="page55"/>
    <w:bookmarkEnd w:id="54"/>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81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36130" cy="3816985"/>
                    </a:xfrm>
                    <a:prstGeom prst="rect">
                      <a:avLst/>
                    </a:prstGeom>
                    <a:noFill/>
                  </pic:spPr>
                </pic:pic>
              </a:graphicData>
            </a:graphic>
          </wp:anchor>
        </w:drawing>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also may add, update or change information contained in this prospectus or in documents we have incorporated by reference into this prospectus. However, no prospectus supplement or free writing prospectus will fundamentally change the terms that are set forth in this prospectus or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investment in our securities carries a significant degree of risk. In addition to the other information contained in this prospectus, including the matters addressed under the heading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you should carefully consider the risk factors described in our periodic reports filed with the SEC, including those set forth under the caption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Annual Report on Form 20-F for the year ended December 31, 2022, which is incorporated by reference in this prospectus, as such discussion may be updated and amended from time to time in subsequent filings we may make with the SEC.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contains, and any accompanying prospectus supplement will contain, forward-looking statements within the meaning of Section 27A of the Securities Act, and Section 21E of the Securities Exchange Act of 1934, as amended (the “Exchange Act”), and the Private Securities Litigation Reform Act of 1995. Also, documents that we incorporate by reference into this prospectus, including documents that we subsequently file with the SEC, will contain forward-looking statements. You should not place undue reliance on such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are often, but not always, made through the use of words or phrases such as “believe,” “anticipate,” “could,” “may,” “would,” “should,” “intend,” “plan,” “potential,” “predict,” “will,” “expect,” “estimate,” “project,” “positioned,” “strategy,” “outlook,” “continue,” “possible,” “might”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w:t>
      </w:r>
    </w:p>
    <w:p>
      <w:pPr>
        <w:spacing w:after="0" w:line="19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ind w:left="660" w:right="360" w:hanging="328"/>
        <w:spacing w:after="0" w:line="281"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and our ability to obtain and maintain regulatory approval for our product candidates from the FDA, European Commission and comparable national or regional authorities;</w:t>
      </w:r>
    </w:p>
    <w:p>
      <w:pPr>
        <w:spacing w:after="0" w:line="162" w:lineRule="exact"/>
        <w:rPr>
          <w:rFonts w:ascii="Arial" w:cs="Arial" w:eastAsia="Arial" w:hAnsi="Arial"/>
          <w:sz w:val="18"/>
          <w:szCs w:val="18"/>
          <w:b w:val="1"/>
          <w:bCs w:val="1"/>
          <w:color w:val="auto"/>
        </w:rPr>
      </w:pPr>
    </w:p>
    <w:p>
      <w:pPr>
        <w:ind w:left="660" w:right="420" w:hanging="328"/>
        <w:spacing w:after="0" w:line="281"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the announcement of clinical study results, the commencement of patient studies, regulatory applications, approvals and market launches;</w:t>
      </w:r>
    </w:p>
    <w:p>
      <w:pPr>
        <w:spacing w:after="0" w:line="162" w:lineRule="exact"/>
        <w:rPr>
          <w:rFonts w:ascii="Arial" w:cs="Arial" w:eastAsia="Arial" w:hAnsi="Arial"/>
          <w:sz w:val="18"/>
          <w:szCs w:val="18"/>
          <w:b w:val="1"/>
          <w:bCs w:val="1"/>
          <w:color w:val="auto"/>
        </w:rPr>
      </w:pPr>
    </w:p>
    <w:p>
      <w:pPr>
        <w:ind w:left="660" w:right="480" w:hanging="328"/>
        <w:spacing w:after="0" w:line="281"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regulatory review and interactions, including the timing and results of the facility inspection by the FDA or other foreign regulatory authorities;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financial performance;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strategic advantages and the impact those advantages will have on future financial and operational results;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expansion plans and opportunities;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grow our business in a cost-effective manner;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approach and goals with respect to technology;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applicable laws or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the listing of ordinary shares on The Nasdaq Stock Market LLC and Nasdaq Iceland Main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comply with all applicable laws and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successfully launch our products in certain markets after obtaining regulatory approval for such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estimates of expenses and profitability;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expected cash runway and our ability to raise additional adequate funds through equity or debt financing;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identify and successfully develop new product candidates;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third party providers for clinical and non-clinical studies, supplies, and manufacturing of our products;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manage our manufacturing risks;</w:t>
      </w:r>
    </w:p>
    <w:p>
      <w:pPr>
        <w:spacing w:after="0" w:line="224" w:lineRule="exact"/>
        <w:rPr>
          <w:rFonts w:ascii="Arial" w:cs="Arial" w:eastAsia="Arial" w:hAnsi="Arial"/>
          <w:sz w:val="18"/>
          <w:szCs w:val="18"/>
          <w:b w:val="1"/>
          <w:bCs w:val="1"/>
          <w:color w:val="auto"/>
        </w:rPr>
      </w:pPr>
    </w:p>
    <w:p>
      <w:pPr>
        <w:ind w:left="660" w:right="140" w:hanging="328"/>
        <w:spacing w:after="0" w:line="265"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worsening or unpredictable macroeconomic conditions, including rising inflation, interest rates and cost of energy, and general market conditions, war in Ukraine and global geopolitical tension, and public health emergencies, such as COVID-19 pandemic, on the business, financial position, strategy and anticipated milestones; and</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partners for the commercialization of our product candidates.</w:t>
      </w:r>
    </w:p>
    <w:p>
      <w:pPr>
        <w:spacing w:after="0" w:line="2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and other factors are more fully discussed under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most recent Annual Report on Form 20-F for the year ended December 31, 2022, as such discussion may be updated and amended from time to time in subsequent filings we may make with the SEC, and in other documents that we may file with the SEC, all of which you should review carefully. These risks could cause actual results to differ materially from those implied by forward-looking statements in this prospectus and supplements to this prospectus. Please consider our forward-looking statements in light of these risks as you read this prospectus, the documents incorporated by reference herein, and any applicable prospectus supplement.</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because they are based on the information currently available to us and speak only as of the date on the cover of this prospectus, the date of any prospectus supplement, or, in the case of forward-looking statements incorporated by reference, the date of the filing that includes the statement. New risks and uncertainties come up from time to time, and it is impossible for us to predict these events or how they may affect us. We do not undertake any obligation to update or revise any forward-looking statements whether as a result of new information, future events or otherwise, except as required by law. In light of these risks and uncertainties, you should keep in mind that any event described in a forward-looking statement made in this prospectus or elsewhere might not occur.</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sell from time to time pursuant to this prospectus (as may be detailed in a prospectus supplement) an indeterminate number of ordinary shares, debt securities, warrants, rights or units, either individually or in combination, as shall have a maximum aggregate offering price of up to $100,000,000. The actual price per share or per security of the securities that we will offer pursuant hereto will depend on a number of factors that may be relevant as of the time of offer.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offered pursuant to this prospectus. Unless otherwise indicated in the applicable prospectus supplement, we intend to use any net proceeds from the sale of securities under this prospectus for our operations and for other general corporate purposes, which may include, among others, working capital, intellectual property protection and enforcement, commercial expenditures, capital expenditures, acquisitions or collaborations, pre-clinical and clinical development of our product candidates, research and development and product development, pre-commercialization activities and repayment or refinancing of indebtedness or other corporate borrowings. We may also use a portion of the net proceeds to invest in or acquire businesses or technologies that we believe are complementary to our own, although we have no current plans, commitments or agreements with respect to any acquisitions as of the date of this prospectus. We may set forth additional information on the use of proceeds from the sale of securities we offer under this prospectus in a prospectus supplement relating to the specific offering. We have not determined the amount of net proceeds to be used specifically for the foregoing purposes. As a result, our management will have broad discretion in the allocation of the net proceeds. Pending use of the net proceeds, we would expect to invest any proceeds in a variety of capital preservation instruments, including short-term and long-term, investment grade, interest bearing instruments.</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Alvotech is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under the laws of the Grand Duchy of Luxembourg on August 23, 2021 with an initial share capital of $40,000, represented by 4,000,000 initial shares with a nominal value of $0.01 per share. All issued shares were fully paid and subscribed for.</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registered with the Luxembourg Trade and Companies Register (</w:t>
      </w:r>
      <w:r>
        <w:rPr>
          <w:rFonts w:ascii="Times New Roman" w:cs="Times New Roman" w:eastAsia="Times New Roman" w:hAnsi="Times New Roman"/>
          <w:sz w:val="18"/>
          <w:szCs w:val="18"/>
          <w:i w:val="1"/>
          <w:iCs w:val="1"/>
          <w:color w:val="auto"/>
        </w:rPr>
        <w:t>Registre de Commerce et des Sociétés, Luxembourg</w:t>
      </w:r>
      <w:r>
        <w:rPr>
          <w:rFonts w:ascii="Times New Roman" w:cs="Times New Roman" w:eastAsia="Times New Roman" w:hAnsi="Times New Roman"/>
          <w:sz w:val="18"/>
          <w:szCs w:val="18"/>
          <w:color w:val="auto"/>
        </w:rPr>
        <w:t>) under number B258884.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registered office is at 9, Rue de Bitbourg, L-1273 Luxembourg, Grand Duchy of Luxembourg.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2023, Alvotech had 266,023,002 ordinary shares with a nominal value of $0.01 per share, issued and outstanding. All issued ordinary shares are fully paid and subscribed for. In addition, Alvotech Manco ehf., a subsidiary of Alvotech, held 23,704,460 ordinary shares, the voting and dividend rights of which are suspended.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authorized capital of Alvotech (excluding the issued share capital) is set at $59,364,290.43, divided into 5,936,429,043 ordinary shares with a nominal value of $0.01 each.</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 shareholder in a Luxembourg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holding fully paid-up shares is not liable, solely because of his, her or its shareholder status, for additional payments to Alvotech or its creditors.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Number of Ordinary Shares Outstanding through June 30, 2023</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Alvotech’s initial formation on August 23, 2021, Alvotech issued 4,000,000 initial shares with a nominal value of $0.01 per share to Floki Holdings S.à r.l.</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On June 15, 2022, after the Closing of the Business Combination, Alvotech’s issued share capital equaled $2,486,495.05, represented by 248,649,505 ordinary shares with a nominal value of $0.01 per share, including 17,493,000 ordinary shares to the Subscribers in the PIPE Financing at a price of $10.00 per share, for an aggregate offering price of $174,930,000.</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July 12, 2022, Alvotech issued 5,000,000 ordinary shares to Aztiq and Alvogen pursuant to the Alvogen-Aztiq Loan Advance Conversion. The shares were issued at a price of $10.00 per share and set-off against repayment of an aggregate of $50.0 million of outstanding loans.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November 16, 2022, Alvotech amended and restated certain terms and conditions of the existing senior bonds and issued new senior bonds in the aggregate principal amount equal to $70.0 million. Pursuant to the terms of the amended Senior Bonds, Alvotech was required to use commercially reasonable efforts to raise new funding through the issuance of additional ordinary shares and/or unsecured convertible bonds, for net proceeds of at least $75.0 million by December 15, 2022, and $150.0 million by March 31, 2023.</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Since Alvotech had not raised $75.0 million by December 15, 2022, Alvotech issued 4,198,807 warrants to the bondholders on December 31, 2022. Each new warrant entitles the bondholders, upon exercise, to receive from Alvotech one Ordinary Share, at the exercise price of one cent ($0.01) per share. As of June 30, 2023, 2,479,962 of the warrants were exercised and 1,718,845 remain outstanding. Further, Alvotech was required to raise at least $150.0 million by March 31, 2023 or to grant penny warrants representing 1.0% of the ordinary share capital to the bondholders if it failed to raise that amount. Following the issuance of the December 2022 Convertible Bonds and the closing of the private placement of ordinary shares for gross proceeds of $137.0 million on February 10, 2023 (as described below), Alvotech was not obligated to issue the additional 1.0% warrants to the bondholders.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On November 16, 2022, Alvotech issued the Aztiq Convertible Bond to ATP Holdings ehf. for the acquisition of the Alvotech manufacturing facility. The Aztiq Convertible Bond has a principal amount of $80.0 million and carries an interest rate of 12.5% per annum. Interest payable in six-month intervals and is capitalized and added to the outstanding principal amount of the bonds. The maturity date of the convertible bond is the later of the (i) November 16, 2025, or (ii) 91 days after the earlier of the full redemption or the final maturity date of the Senior Bonds. Bondholders have the right to convert their outstanding bonds into ordinary shares of Alvotech on December 31, 2023, June 30, 2024, or when the bond has been called or put up for redemption, including on the maturity date, for a conversion price of $10.00 per share.</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December 20, 2022, Alvotech issued two tranches of the December 2022 Convertible Bonds. Tranche A is ISK denominated with a principal balance of $59.1 million, of which $3.5 million in cash proceeds were received subsequent to December 31, 2022, and carries an annual payment-in-kind interest rate of 15% per year. Tranche B is USD denominated with a principal balance of $0.6 million and carries an annual payment-in-kind interest rate of 12.5% per year. Holders of both the Tranche A and Tranche B convertible bonds, may elect, at their sole discretion, to convert all or part of the principal amount and accrued interest into ordinary shares at a conversion price of $10.00 per share on December 31, 2023, or June 30, 2024. On January 25, 2023, Alvotech issued an additional $10.0 million in the Tranche B December 2022 Convertible Bonds.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February 10, 2023, Alvotech closed a private placement of 11,834,061 ordinary shares at a purchase price of $11.57 per ordinary share for proceeds of $137.0 million and transaction costs of $4.8 million. The offer or sale of ordinary shares was made in an overseas directed offering directed solely into Iceland and in accordance with local laws and customary practices and documentation.</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July 4, 2022, Alvotech issued 27,072,167 ordinary shares subscribed to by Alvotech’s affiliate, Alvotech Manco ehf. On March 28, 2023, Alvotech issued an additional 14,005,790 ordinary shares to Alvotech Manco ehf. These shares issued to Alvotech Manco ehf are mainly used to settle the exercise of warrants, capital increases such as the ones mentioned above, and grants under Alvotech’s equity incentive plan. As of June 30, 2023, Alvotech Manco ehf. holds 23,704,460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Luxembourg law, the issuance of ordinary shares requires approval by the extraordinary general meeting of shareholders in front of a notary subject to necessary quorum and majority requirements. The extraordinary general meeting of shareholders may approve an authorized capital and authorize the board of directors to increase the issued share capital in one or several tranches with or without share premium, against payment in cash or in kind, by conversion of claims on Alvotech or in any other manner for any reason whatsoever including (i) issue subscription and/or conversion rights in relation to new shares or instruments within the limits of the authorized capital under the terms and conditions of warrants (which may be separate or linked to shares, bonds, notes or similar instruments issued by Alvotech), convertible bonds, notes or similar instruments; (ii) determine the place and date of the issue or successive issues, the issue price, the terms and conditions of the subscription of and paying up on the new shares and instruments and (iii) remove or limit the statutory preferential subscription right of the shareholders in case of issue against payment in cash or shares, warrants (which may be separate or attached to shares, bonds, notes or similar instruments), convertible bonds, notes or similar instruments up to the maximum amount of such authorized capital for a maximum period of five years after the date that the minutes of the relevant general meeting approving such authorization are published in the Luxembourg official gazette (</w:t>
      </w:r>
      <w:r>
        <w:rPr>
          <w:rFonts w:ascii="Times New Roman" w:cs="Times New Roman" w:eastAsia="Times New Roman" w:hAnsi="Times New Roman"/>
          <w:sz w:val="18"/>
          <w:szCs w:val="18"/>
          <w:i w:val="1"/>
          <w:iCs w:val="1"/>
          <w:color w:val="auto"/>
        </w:rPr>
        <w:t>Recueil Electronique des Sociétés et Associations, “RESA”</w:t>
      </w:r>
      <w:r>
        <w:rPr>
          <w:rFonts w:ascii="Times New Roman" w:cs="Times New Roman" w:eastAsia="Times New Roman" w:hAnsi="Times New Roman"/>
          <w:sz w:val="18"/>
          <w:szCs w:val="18"/>
          <w:color w:val="auto"/>
        </w:rPr>
        <w:t>). The extraordinary general meeting may amend, renew, or extend such authorized capital and such authorization to the board of directors to issue ordinary shares.</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extraordinary general meeting of shareholders may authorize the board of directors to make an allotment of existing or newly issued shares without consideration to (a) employees of Alvotech or certain categories amongst those; (b) employees of companies or economic interest grouping in which Alvotech holds directly or indirectly at least 10% of the share capital or voting rights; (c) employees of companies or economic interest grouping which directly or indirectly hold at least 10% of the share capital or voting rights of Alvotech; (d) employees of companies or economic interest grouping in which at least 50% of the share capital or voting rights is held directly or indirectly by a company which holds directly or indirectly at least 50% of the share capital of Alvotech; (e) members of the corporate bodies of Alvotech or of the companies or economic interest grouping listed in point (b) to (d) above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or certain categories amongst those, for a maximum period of five years after the date that the minutes of the relevant general meeting approving such authorization are published in the RESA.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recognizes only one holder per ordinary share. In case an ordinary share is owned by several persons, they shall appoint a single representative who shall represent them in respect of Alvotech. Alvotech has the right to suspend the exercise of all rights attached to that share, except for relevant information rights, until such representative has been appointed.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of directors resolved on the issuance of ordinary shares out of the authorized capital (</w:t>
      </w:r>
      <w:r>
        <w:rPr>
          <w:rFonts w:ascii="Times New Roman" w:cs="Times New Roman" w:eastAsia="Times New Roman" w:hAnsi="Times New Roman"/>
          <w:sz w:val="18"/>
          <w:szCs w:val="18"/>
          <w:i w:val="1"/>
          <w:iCs w:val="1"/>
          <w:color w:val="auto"/>
        </w:rPr>
        <w:t>capital autorisé</w:t>
      </w:r>
      <w:r>
        <w:rPr>
          <w:rFonts w:ascii="Times New Roman" w:cs="Times New Roman" w:eastAsia="Times New Roman" w:hAnsi="Times New Roman"/>
          <w:sz w:val="18"/>
          <w:szCs w:val="18"/>
          <w:color w:val="auto"/>
        </w:rPr>
        <w:t>) in accordance with the quorum and voting thresholds set forth in the articles of association and applicable law to the Subscribers in the PIPE Financing.</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also resolves on the applicable procedures and timelines to which such issuance will be subjected. If the proposal of the board of directors to issue new ordinary shares exceeds the limits of Alvotech’s authorized share capital, the board of directors must then convene the shareholders to an extraordinary general meeting to be held in front of a Luxembourg notary for the purpose of increasing the issued share capital. Such meeting will be subject to the quorum and majority requirements required for amending the articles of association. If the capital call proposed by the board of directors consists of an increase in the shareholders’ commitments, the board of directors must convene the shareholders to an extraordinary general meeting to be held in front of a Luxembourg notary for such purpose. Such meeting will be subject to the unanimous consent of the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Preferential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Luxembourg law, existing shareholders benefit from a preferential subscription right on the issuance of ordinary shares for cash consideration. However, Alvotech’s shareholders have, in accordance with Luxembourg law, authorized the board of directors to suppress, waive, or limit any preferential subscription rights of shareholders provided by law to the extent that the board of directors deems such suppression, waiver, or limitation advisable for any issuance or issuances of ordinary shares within the scope of Alvotech’s authorized share capital. The general meeting of shareholders duly convened to consider an amendment to the articles of association also may, by a two-thirds majority vote at a quorate meeting, limit, waive, or cancel such preferential subscription rights or renew, amend, or extend the authorization of the board of directors to suppress, waive, or limit such preferential subscription rights, in each case for a period not to exceed five years. Such ordinary shares may be issued above, at, or below market value, and, following a certain procedure, even below the nominal value or below the accounting par value per ordinary share. The ordinary shares also may be issued by way of incorporation of available reserves, including share premium.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cannot subscribe for its own ordinary shares. Alvotech may, however, repurchase issued ordinary shares or have another person repurchase issued ordinary shares for its account, generally subject to the following conditions and the respect of the principle of equal treatment of shareholders being in the same situation and applicable securities laws:</w:t>
      </w:r>
    </w:p>
    <w:p>
      <w:pPr>
        <w:spacing w:after="0" w:line="1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prior authorization by a simple majority vote at an ordinary general meeting of shareholders, which authorization sets forth:</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and conditions of the proposed repurchase and in particular the maximum number of ordinary shares to be repurchased;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duration of the period for which the authorization is given, which may not exceed five years;</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repurchase for consideration, the minimum and maximum consideration per share, provided that the prior authorization shall not apply in the case of ordinary shares acquired by either Alvotech, or by a person acting in his or her own name on its behalf, for the distribution thereof to its staff or to the staff of a company with which it is in a control relationship;</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only fully paid-up ordinary shares may be repurchased; and</w:t>
      </w:r>
    </w:p>
    <w:p>
      <w:pPr>
        <w:spacing w:after="0" w:line="224"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voting and dividend rights attached to the repurchased shares will be suspended as long as the repurchased ordinary shares are held by Alvotech; and the acquisition offer must be made on the same terms and conditions to all the shareholders who are in the same position, except for acquisitions which were unanimously decided by a general meeting at which all the shareholders were present or represented. However, listed companies like us may repurchase their own shares on the stock exchange without an acquisition offer having to be made to Alvotech’s shareholders.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authorization will be valid for a period ending on the earlier of five years from the date of such shareholder authorization and the date of its renewal by a subsequent general meeting of shareholders. Pursuant to such authorization, the board of directors is authorized to acquire ordinary shares under the conditions set forth in article 430-15 of the Luxembourg law of August 10, 1915 on commercial companies, as amended from time to time (the “</w:t>
      </w:r>
      <w:r>
        <w:rPr>
          <w:rFonts w:ascii="Times New Roman" w:cs="Times New Roman" w:eastAsia="Times New Roman" w:hAnsi="Times New Roman"/>
          <w:sz w:val="18"/>
          <w:szCs w:val="18"/>
          <w:b w:val="1"/>
          <w:bCs w:val="1"/>
          <w:color w:val="auto"/>
        </w:rPr>
        <w:t>Luxembourg Company law</w:t>
      </w:r>
      <w:r>
        <w:rPr>
          <w:rFonts w:ascii="Times New Roman" w:cs="Times New Roman" w:eastAsia="Times New Roman" w:hAnsi="Times New Roman"/>
          <w:sz w:val="18"/>
          <w:szCs w:val="18"/>
          <w:color w:val="auto"/>
        </w:rPr>
        <w:t>”). Such purchases and subsequent sales may be carried out for any authorized purpose or any purpose that is authorized by the laws and regulations in force. The purchase price per ordinary share to be determined by the board of directors or its delegate shall represent not more than the fair market value of such ordinary share.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pursuant to Luxembourg law, Alvotech may directly or indirectly repurchase ordinary shares by resolution of its board of directors without the prior approval of the general meeting of shareholders if such repurchase is deemed by the board of directors to be necessary to prevent serious and imminent harm to Alvotech in accordance with article 430-15(2) of the Luxembourg Company Law, or if the acquisition of ordinary shares has been made with the intent of distribution to its employees and/or the employees of any entity having a controlling relationship with it (i.e., its subsidiaries or controlling shareholder) in accordance with article 430-15(3) of the Luxembourg Company Law or in any of the circumstances listed in article 430-16 of the Luxembourg Company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General Meeting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an ordinary general meeting, there is no quorum requirement and resolutions are adopted by a simple majority of validly cast votes. Abstentions are not considered “votes.”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Extraordinary General Meeting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Resolutions adopted at an extraordinary general meeting are required for any of the following matters, among others: (i) an increase or decrease of the authorized or issued capital, (ii) a limitation or exclusion of preferential subscription rights, (iii) approval of a statutory merger or de-merger (scission), (iv) Alvotech’s dissolution and liquidation, (v) any and all amendments to Alvotech’s articles of association and (vi) change of nationality. Pursuant to Alvotech’s articles of association, for any resolutions to be considered at an extraordinary general meeting of shareholders, the quorum shall be at least one half of Alvotech’s issued share capital unless otherwise mandatorily required by law. If the said quorum is not present, a second meeting may be convened, for which Luxembourg Company Law does not prescribe a quorum. Any resolution taken at an extraordinary general meeting shall be adopted at a quorate general meeting, except otherwise provided by law, by at least a two-thirds majority of the votes cast on such resolution by shareholders. Abstentions are not considered “votes.”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Shareholders Meetings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annual general meeting of shareholders shall in principle be held in the Grand Duchy of Luxembourg within 6 months of the end of the preceding financial year. Alvotech’s first financial year ended on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the annual net profits of Alvotech, at least 5% shall each year be allocated to the reserve required by applicable laws (the “Legal Reserve”). That allocation to the Legal Reserve will cease to be required as soon and as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long as the Legal Reserve amounts to 10% of the amount of the issued share capital of Alvotech.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each Ordinary Share entitling to the same proportion in such distributions.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may resolve that Alvotech pays out an interim dividend to the shareholders, subject to the conditions of article 461-3 of the Luxembourg Company Law and Alvotech’s articles of association. The board of directors shall set the amount and the date of payment of the interim dividend.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share premium assimilated premium or other distributable reserve may be freely distributed to the shareholders subject to the provisions of the Luxembourg Company Law and Alvotech’s articles of association. In case of a dividend payment, each shareholder is entitled to receive a dividend right pro rata according to his or her respective shareholding. The dividend entitlement lapses upon the expiration of a five-year prescription period from the date of the dividend distribution. The unclaimed dividends return to Alvotech’s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Provisions of Our Articles of Association</w:t>
      </w:r>
    </w:p>
    <w:p>
      <w:pPr>
        <w:spacing w:after="0" w:line="227"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certain key provisions of our articles of association not discussed elsewhere in this section. Please note that this is only a summary and is not intended to be exhaustive.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 and Purpose (Article 2)</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purpose of Alvotech is the holding of participations in any form whatsoever in Luxembourg and foreign companies and in any other form of investment, the acquisition by purchase, subscription or in any other manner as well as the transfer by sale, exchange or otherwise of securities of any kind and the administration, management, control and development of its portfolio. Alvotech may grant loans to, as well as guarantees or security for the benefit of third parties to secure its obligations and obligations of other companies in which it holds a direct or indirect participation or right of any kind or which form part of the same group of companies as Alvotech, or otherwise assist such companies. Alvotech may raise funds through borrowing in any form or by issuing any kind of notes, securities or debt instruments, bonds and debentures and generally issue securities of any type. The Company may carry out any commercial, industrial, financial, real estate or intellectual property activities which it considers useful for the accomplishment of these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Majority and Voting rights (Article 11)</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Ordinary Share entitles the holder thereof to one vote. Neither Luxembourg law nor Alvotech’s articles of association contain any restrictions as to the voting of Ordinary Shares by non-Luxembourg residents. The Luxembourg Company Law distinguishes ordinary general meetings of shareholders and extraordinary general meetings of shareholders with respect to the required quorums and majorities.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the Luxembourg Company Law or these articles of association, resolutions at a general meeting of shareholders duly convened shall not require any quorum and shall be adopted at a simple majority of the votes validly cast regardless of the portion of capital represented. Abstentions and nil votes shall not be taken into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Articles of Associations (Article 12)</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Luxembourg law, amendments to Alvotech’s articles of association require an extraordinary general meeting of shareholders held in front of a Luxembourg notary at which (i) a quorum of more than half (50%) of the share capital is present or represented and (ii) the amendment(s) is approved by a two thirds majority of the votes validly cast. If the aforementioned quorum is not reached, a second meeting may be convened by means of a notice published in the RESA and in a Luxembourg newspaper. The second meeting shall be validly constituted regardless of the proportion of the share capital present or represented and resolutions at such second meeting will be adopted by a majority of at least two-thirds of the votes cast by shareholders (unless otherwise required by Luxembourg law or the</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articles of association). Where different classes of shares exist and the resolution to be adopted by the general meeting of shareholders changes the respective rights attaching to such shares, the resolution will be adopted only if the conditions as to quorum and majorities set out above are fulfilled with respect to each class of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Alvotech’s articles of association and the Luxembourg Company Law provide that for any extraordinary resolutions to be considered at a general meeting, the quorum shall be at least one-half of Alvotech’s issued share capital. If the said quorum is not present, a second meeting may be convened at which Luxembourg law does not prescribe a quorum. Any extraordinary resolution shall be adopted at a quorate general meeting (save as otherwise provided by mandatory law) by a two-thirds majority of the votes cast on such resolution by shareholders. Abstentions are not considered “votes.”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Grand Duchy of Luxembourg that may affect the import or export of capital, including the availability of cash and cash equivalents for use by us, or that may affect the remittance of dividends, interest, or other payments by us to non-resident holders of our Ordinary Shares, other than withholding tax requirements. There is no limitation imposed by the laws of the Grand Duchy of Luxembourg or in the articles of association on the right of non-residents to hold or vote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ordinary shares are currently listed on Nasdaq and Nasdaq Iceland Main Market under the symbol “ALVO.”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Luxembourg Corporate Law and Delaware Corporate Law</w:t>
      </w:r>
    </w:p>
    <w:p>
      <w:pPr>
        <w:spacing w:after="0" w:line="223" w:lineRule="exact"/>
        <w:rPr>
          <w:sz w:val="20"/>
          <w:szCs w:val="20"/>
          <w:color w:val="auto"/>
        </w:rPr>
      </w:pPr>
    </w:p>
    <w:p>
      <w:pPr>
        <w:ind w:left="468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16510</wp:posOffset>
            </wp:positionV>
            <wp:extent cx="53403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ind w:left="2820" w:right="120" w:hanging="28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SHAREHOLDER RIGHTS PLAN </w:t>
      </w:r>
      <w:r>
        <w:rPr>
          <w:rFonts w:ascii="Times New Roman" w:cs="Times New Roman" w:eastAsia="Times New Roman" w:hAnsi="Times New Roman"/>
          <w:sz w:val="18"/>
          <w:szCs w:val="18"/>
          <w:color w:val="auto"/>
        </w:rPr>
        <w:t>Under the DGCL, the certificate of incorporation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give the board of directors the right to issue new classes of preferred shares with voting, conversion, dividend distribution, and other rights to be determined by the board of directors at the time of issuance, which could prevent a takeover attempt and thereby preclude stockholders from realizing a potential premium over the market value of their shares.</w:t>
      </w:r>
    </w:p>
    <w:p>
      <w:pPr>
        <w:spacing w:after="0" w:line="192" w:lineRule="exact"/>
        <w:rPr>
          <w:sz w:val="20"/>
          <w:szCs w:val="20"/>
          <w:color w:val="auto"/>
        </w:rPr>
      </w:pPr>
    </w:p>
    <w:p>
      <w:pPr>
        <w:jc w:val="both"/>
        <w:ind w:left="2820"/>
        <w:spacing w:after="0" w:line="258" w:lineRule="auto"/>
        <w:rPr>
          <w:sz w:val="20"/>
          <w:szCs w:val="20"/>
          <w:color w:val="auto"/>
        </w:rPr>
      </w:pPr>
      <w:r>
        <w:rPr>
          <w:rFonts w:ascii="Times New Roman" w:cs="Times New Roman" w:eastAsia="Times New Roman" w:hAnsi="Times New Roman"/>
          <w:sz w:val="18"/>
          <w:szCs w:val="18"/>
          <w:color w:val="auto"/>
        </w:rPr>
        <w:t>In addition, Delaware law does not prohibit a corporation from adopting a stockholder rights plan, or “poison pill,” which could prevent a takeover attempt and also preclude stockholders from realizing a potential premium over the market value of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Luxembourg law, the shareholders may create an authorized share capital which allows the board of directors to increase the issued share capital for a price defined by the board of directors of Alvotech (which may or may not include an issue premium) against payment in cash or in kind, including by conversion of claims on Alvotech for any reason whatsoever including (i) issue subscription and/or conversion rights in relation to new shares or instruments within the limits of the authorized capital under the terms and conditions of warrants (which may be separate or linked to shares, bonds, notes or similar instruments issued by Alvotech), convertible bonds, notes or similar instruments; (ii) determine the place and date of the issuance or successive issuances, the issue price, the terms and conditions of the issuance of and paying up on the new shares and instruments and</w:t>
      </w:r>
    </w:p>
    <w:p>
      <w:pPr>
        <w:spacing w:after="0" w:line="4" w:lineRule="exact"/>
        <w:rPr>
          <w:sz w:val="20"/>
          <w:szCs w:val="20"/>
          <w:color w:val="auto"/>
        </w:rPr>
      </w:pPr>
    </w:p>
    <w:p>
      <w:pPr>
        <w:ind w:right="20" w:firstLine="3"/>
        <w:spacing w:after="0" w:line="253" w:lineRule="auto"/>
        <w:tabs>
          <w:tab w:leader="none" w:pos="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or limit the statutory preferential subscription right of the shareholders in case of issue against payment in cash or shares, warrants (which may be separate or attached to</w:t>
      </w:r>
    </w:p>
    <w:p>
      <w:pPr>
        <w:sectPr>
          <w:pgSz w:w="11900" w:h="16838" w:orient="portrait"/>
          <w:cols w:equalWidth="0" w:num="2">
            <w:col w:w="6980" w:space="220"/>
            <w:col w:w="4040"/>
          </w:cols>
          <w:pgMar w:left="320" w:top="121" w:right="339" w:bottom="144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APPRAISAL RIGHTS</w:t>
      </w:r>
      <w:r>
        <w:rPr>
          <w:sz w:val="20"/>
          <w:szCs w:val="20"/>
          <w:color w:val="auto"/>
        </w:rPr>
        <w:tab/>
      </w:r>
      <w:r>
        <w:rPr>
          <w:rFonts w:ascii="Times New Roman" w:cs="Times New Roman" w:eastAsia="Times New Roman" w:hAnsi="Times New Roman"/>
          <w:sz w:val="18"/>
          <w:szCs w:val="18"/>
          <w:color w:val="auto"/>
        </w:rPr>
        <w:t>Under the DGCL, a stockholder of a corporation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participating in some types of major corporate transactions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may, under varying circumstances, be entitled to appraisal</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rights pursuant to which the stockholder may receive cash</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the amount of the fair market value of his or her shares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lieu of the</w:t>
      </w:r>
    </w:p>
    <w:p>
      <w:pPr>
        <w:spacing w:after="0" w:line="1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Times New Roman" w:cs="Times New Roman" w:eastAsia="Times New Roman" w:hAnsi="Times New Roman"/>
          <w:sz w:val="17"/>
          <w:szCs w:val="17"/>
          <w:color w:val="auto"/>
        </w:rPr>
        <w:t>shares, bonds, notes or similar instruments), convertible bonds, notes or similar instruments within the limits of such authorized share capital. The board of directors may be further authorized to, under certain conditions, limit, restrict, or waive preferential subscription rights of existing shareholders when issuing new shares within the authorized share capital. The rights attached to the new shares issued within the authorized share capital will be equal to those attached to existing shares and set forth in the articles of association.</w:t>
      </w:r>
    </w:p>
    <w:p>
      <w:pPr>
        <w:spacing w:after="0" w:line="17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authorization to the board of directors to issue additional shares or other instruments as described above within the authorized share capital (and to limit, restrict, or waive, as the case may be preferential subscription rights) as well as the authorization to allot shares without consideration may be valid for a period of up to five years, starting from either the date of the minutes of the extraordinary general meeting resolving upon such authorization or starting from the date of the publication of the minutes of the extraordinary general meeting resolving upon such authorization in the Luxembourg official electronic gazette (RESA). The authorization may be renewed, increased or reduced by a resolution of the extraordinary general meeting of shareholders, with the quorum and majority rules set for the amendment of the articles of association.</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Alvotech’s articles of association authorize its board of directors to issue ordinary shares within the limits of the authorized share capital at such times and on such terms as the board of directors or its delegates may decide for a period ending five years after the date of the creation of the authorized share capital or its publication date unless such period is extended, amended or renewed. Accordingly, the board of directors is authorized to issue ordinary shares up to the limits of authorized share capital until such date. Alvotech currently intends to seek renewals and/or extensions as required from time to time.</w:t>
      </w:r>
    </w:p>
    <w:p>
      <w:pPr>
        <w:spacing w:after="0" w:line="1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Neither Luxembourg law nor Alvotech’s articles of association provide for appraisal rights.</w:t>
      </w:r>
    </w:p>
    <w:p>
      <w:pPr>
        <w:sectPr>
          <w:pgSz w:w="11900" w:h="16838" w:orient="portrait"/>
          <w:cols w:equalWidth="0" w:num="2">
            <w:col w:w="7060" w:space="140"/>
            <w:col w:w="4020"/>
          </w:cols>
          <w:pgMar w:left="320" w:top="121" w:right="359" w:bottom="1440" w:gutter="0" w:footer="0" w:header="0"/>
        </w:sectPr>
      </w:pPr>
    </w:p>
    <w:bookmarkStart w:id="67" w:name="page68"/>
    <w:bookmarkEnd w:id="67"/>
    <w:p>
      <w:pPr>
        <w:ind w:left="2820"/>
        <w:spacing w:after="0"/>
        <w:rPr>
          <w:sz w:val="20"/>
          <w:szCs w:val="20"/>
          <w:color w:val="auto"/>
        </w:rPr>
      </w:pPr>
      <w:r>
        <w:rPr>
          <w:rFonts w:ascii="Times New Roman" w:cs="Times New Roman" w:eastAsia="Times New Roman" w:hAnsi="Times New Roman"/>
          <w:sz w:val="18"/>
          <w:szCs w:val="18"/>
          <w:color w:val="auto"/>
        </w:rPr>
        <w:t>consideration he or she would otherwise receive in the</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transaction.</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SHAREHOLDER CONSENT TO </w:t>
      </w:r>
      <w:r>
        <w:rPr>
          <w:rFonts w:ascii="Times New Roman" w:cs="Times New Roman" w:eastAsia="Times New Roman" w:hAnsi="Times New Roman"/>
          <w:sz w:val="18"/>
          <w:szCs w:val="18"/>
          <w:color w:val="auto"/>
        </w:rPr>
        <w:t>Under the DGCL, unless otherwise provided in a</w:t>
      </w:r>
      <w:r>
        <w:rPr>
          <w:rFonts w:ascii="Times New Roman" w:cs="Times New Roman" w:eastAsia="Times New Roman" w:hAnsi="Times New Roman"/>
          <w:sz w:val="18"/>
          <w:szCs w:val="18"/>
          <w:b w:val="1"/>
          <w:bCs w:val="1"/>
          <w:color w:val="auto"/>
        </w:rPr>
        <w:t xml:space="preserve"> ACTION WITHOUT MEETING </w:t>
      </w:r>
      <w:r>
        <w:rPr>
          <w:rFonts w:ascii="Times New Roman" w:cs="Times New Roman" w:eastAsia="Times New Roman" w:hAnsi="Times New Roman"/>
          <w:sz w:val="18"/>
          <w:szCs w:val="18"/>
          <w:color w:val="auto"/>
        </w:rPr>
        <w:t>corporation’s certificate of incorporation, any action that</w:t>
      </w:r>
    </w:p>
    <w:p>
      <w:pPr>
        <w:spacing w:after="0" w:line="1" w:lineRule="exact"/>
        <w:rPr>
          <w:sz w:val="20"/>
          <w:szCs w:val="20"/>
          <w:color w:val="auto"/>
        </w:rPr>
      </w:pPr>
    </w:p>
    <w:p>
      <w:pPr>
        <w:ind w:left="2820"/>
        <w:spacing w:after="0" w:line="253" w:lineRule="auto"/>
        <w:rPr>
          <w:sz w:val="20"/>
          <w:szCs w:val="20"/>
          <w:color w:val="auto"/>
        </w:rPr>
      </w:pPr>
      <w:r>
        <w:rPr>
          <w:rFonts w:ascii="Times New Roman" w:cs="Times New Roman" w:eastAsia="Times New Roman" w:hAnsi="Times New Roman"/>
          <w:sz w:val="18"/>
          <w:szCs w:val="18"/>
          <w:color w:val="auto"/>
        </w:rPr>
        <w:t>may be taken at a meeting of stockholders may be taken without a meeting, without prior notice, and without a vote if the holders of outstanding stock, having not less than the minimum number of votes that would be necessary to authorize such action, consent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MEETINGS OF</w:t>
      </w:r>
      <w:r>
        <w:rPr>
          <w:sz w:val="20"/>
          <w:szCs w:val="20"/>
          <w:color w:val="auto"/>
        </w:rPr>
        <w:tab/>
      </w:r>
      <w:r>
        <w:rPr>
          <w:rFonts w:ascii="Times New Roman" w:cs="Times New Roman" w:eastAsia="Times New Roman" w:hAnsi="Times New Roman"/>
          <w:sz w:val="18"/>
          <w:szCs w:val="18"/>
          <w:color w:val="auto"/>
        </w:rPr>
        <w:t>Under the DGCL, a special meeting of stockholders may</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SHAREHOLDERS</w:t>
      </w:r>
      <w:r>
        <w:rPr>
          <w:sz w:val="20"/>
          <w:szCs w:val="20"/>
          <w:color w:val="auto"/>
        </w:rPr>
        <w:tab/>
      </w:r>
      <w:r>
        <w:rPr>
          <w:rFonts w:ascii="Times New Roman" w:cs="Times New Roman" w:eastAsia="Times New Roman" w:hAnsi="Times New Roman"/>
          <w:sz w:val="18"/>
          <w:szCs w:val="18"/>
          <w:color w:val="auto"/>
        </w:rPr>
        <w:t>be called by the board of directors or by any other person</w:t>
      </w:r>
    </w:p>
    <w:p>
      <w:pPr>
        <w:spacing w:after="0" w:line="9" w:lineRule="exact"/>
        <w:rPr>
          <w:sz w:val="20"/>
          <w:szCs w:val="20"/>
          <w:color w:val="auto"/>
        </w:rPr>
      </w:pPr>
    </w:p>
    <w:p>
      <w:pPr>
        <w:ind w:left="2820"/>
        <w:spacing w:after="0" w:line="260" w:lineRule="auto"/>
        <w:rPr>
          <w:sz w:val="20"/>
          <w:szCs w:val="20"/>
          <w:color w:val="auto"/>
        </w:rPr>
      </w:pPr>
      <w:r>
        <w:rPr>
          <w:rFonts w:ascii="Times New Roman" w:cs="Times New Roman" w:eastAsia="Times New Roman" w:hAnsi="Times New Roman"/>
          <w:sz w:val="18"/>
          <w:szCs w:val="18"/>
          <w:color w:val="auto"/>
        </w:rPr>
        <w:t>authorized to do so in the certificate of incorporation or the bylaws.</w:t>
      </w:r>
    </w:p>
    <w:p>
      <w:pPr>
        <w:spacing w:after="0" w:line="181" w:lineRule="exact"/>
        <w:rPr>
          <w:sz w:val="20"/>
          <w:szCs w:val="20"/>
          <w:color w:val="auto"/>
        </w:rPr>
      </w:pPr>
    </w:p>
    <w:p>
      <w:pPr>
        <w:ind w:left="2820"/>
        <w:spacing w:after="0" w:line="256" w:lineRule="auto"/>
        <w:rPr>
          <w:sz w:val="20"/>
          <w:szCs w:val="20"/>
          <w:color w:val="auto"/>
        </w:rPr>
      </w:pPr>
      <w:r>
        <w:rPr>
          <w:rFonts w:ascii="Times New Roman" w:cs="Times New Roman" w:eastAsia="Times New Roman" w:hAnsi="Times New Roman"/>
          <w:sz w:val="18"/>
          <w:szCs w:val="18"/>
          <w:color w:val="auto"/>
        </w:rPr>
        <w:t>Under the DGCL, a corporation’s certificate of incorporation or bylaws can specify the number of shares that constitute the quorum required to conduct business at a meeting, provided that in no event shall a quorum consist of less than one-third of the shares entitled to vote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shareholder meeting must always be called if the matter to be considered requires a shareholder resolution under Luxembourg law or Alvotech’s articles of association.</w:t>
      </w:r>
    </w:p>
    <w:p>
      <w:pPr>
        <w:spacing w:after="0" w:line="18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Pursuant to Luxembourg law, shareholders of a public limited liability company may not take actions by written consent. All shareholder actions must be approved at an actual meeting of shareholders held before a notary public or under private seal, depending on the nature of the matter. Shareholders may vote in person, by proxy or, if the articles of association provide for that possibility, by correspondence.</w:t>
      </w:r>
    </w:p>
    <w:p>
      <w:pPr>
        <w:spacing w:after="0" w:line="1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Alvotech provide for the possibility of vote by correspondence, via proxy, and conference or videoconference call (to the extent made available by Alvotech).</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Luxembourg law, at least one general meeting of shareholders must be held each year, within six months as from the close of the financial year. The purpose of such annual general meeting is to approve the annual accounts, allocate the results, proceed to statutory appointments and resolve on the discharge of the directors.</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Other general meetings of shareholders may be convened.</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Luxembourg law distinguishes between ordinary resolutions to be adopted and extraordinary resolutions to be adopted by the general meeting of shareholders. Extraordinary resolutions relate to proposed amendments to the articles of association and other limited matters. All other resolutions are ordinary resolutions.</w:t>
      </w:r>
    </w:p>
    <w:p>
      <w:pPr>
        <w:spacing w:after="0" w:line="1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Pursuant to Luxemburg law, there is no requirement of a quorum for any ordinary resolutions to be considered at a general meeting and such ordinary resolutions shall be adopted by a simple majority of votes validly cast on such resolution. Abstentions are not considered “votes.”</w:t>
      </w:r>
    </w:p>
    <w:p>
      <w:pPr>
        <w:spacing w:after="0" w:line="200" w:lineRule="exact"/>
        <w:rPr>
          <w:sz w:val="20"/>
          <w:szCs w:val="20"/>
          <w:color w:val="auto"/>
        </w:rPr>
      </w:pPr>
    </w:p>
    <w:p>
      <w:pPr>
        <w:spacing w:after="0" w:line="2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Extraordinary resolutions are required for any of the following matters, among others: (i) an increase or decrease of the authorized or issued share capital, (ii) a limitation or exclusion of</w:t>
      </w:r>
    </w:p>
    <w:p>
      <w:pPr>
        <w:sectPr>
          <w:pgSz w:w="11900" w:h="16838" w:orient="portrait"/>
          <w:cols w:equalWidth="0" w:num="2">
            <w:col w:w="7080" w:space="120"/>
            <w:col w:w="4040"/>
          </w:cols>
          <w:pgMar w:left="320" w:top="121" w:right="339" w:bottom="144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DISTRIBUTIONS AND</w:t>
      </w:r>
      <w:r>
        <w:rPr>
          <w:sz w:val="20"/>
          <w:szCs w:val="20"/>
          <w:color w:val="auto"/>
        </w:rPr>
        <w:tab/>
      </w:r>
      <w:r>
        <w:rPr>
          <w:rFonts w:ascii="Times New Roman" w:cs="Times New Roman" w:eastAsia="Times New Roman" w:hAnsi="Times New Roman"/>
          <w:sz w:val="18"/>
          <w:szCs w:val="18"/>
          <w:color w:val="auto"/>
        </w:rPr>
        <w:t>Under the DGCL, the board of directors, subject to any</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DIVIDENDS; REPURCHASES</w:t>
      </w:r>
      <w:r>
        <w:rPr>
          <w:sz w:val="20"/>
          <w:szCs w:val="20"/>
          <w:color w:val="auto"/>
        </w:rPr>
        <w:tab/>
      </w:r>
      <w:r>
        <w:rPr>
          <w:rFonts w:ascii="Times New Roman" w:cs="Times New Roman" w:eastAsia="Times New Roman" w:hAnsi="Times New Roman"/>
          <w:sz w:val="18"/>
          <w:szCs w:val="18"/>
          <w:color w:val="auto"/>
        </w:rPr>
        <w:t>restrictions in the corporation’s certificate of incorporation,</w:t>
      </w:r>
    </w:p>
    <w:p>
      <w:pPr>
        <w:spacing w:after="0" w:line="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AND REDEMPTIONS</w:t>
      </w:r>
      <w:r>
        <w:rPr>
          <w:sz w:val="20"/>
          <w:szCs w:val="20"/>
          <w:color w:val="auto"/>
        </w:rPr>
        <w:tab/>
      </w:r>
      <w:r>
        <w:rPr>
          <w:rFonts w:ascii="Times New Roman" w:cs="Times New Roman" w:eastAsia="Times New Roman" w:hAnsi="Times New Roman"/>
          <w:sz w:val="18"/>
          <w:szCs w:val="18"/>
          <w:color w:val="auto"/>
        </w:rPr>
        <w:t>may declare and pay dividends out of:</w:t>
      </w:r>
    </w:p>
    <w:p>
      <w:pPr>
        <w:spacing w:after="0" w:line="207" w:lineRule="exact"/>
        <w:rPr>
          <w:sz w:val="20"/>
          <w:szCs w:val="20"/>
          <w:color w:val="auto"/>
        </w:rPr>
      </w:pPr>
    </w:p>
    <w:p>
      <w:pPr>
        <w:ind w:left="2820" w:right="420"/>
        <w:spacing w:after="0" w:line="282" w:lineRule="auto"/>
        <w:rPr>
          <w:sz w:val="20"/>
          <w:szCs w:val="20"/>
          <w:color w:val="auto"/>
        </w:rPr>
      </w:pPr>
      <w:r>
        <w:rPr>
          <w:rFonts w:ascii="Times New Roman" w:cs="Times New Roman" w:eastAsia="Times New Roman" w:hAnsi="Times New Roman"/>
          <w:sz w:val="18"/>
          <w:szCs w:val="18"/>
          <w:color w:val="auto"/>
        </w:rPr>
        <w:t>•   surplus of the corporation, which is defined as net assets less statutory capital; or;</w:t>
      </w:r>
    </w:p>
    <w:p>
      <w:pPr>
        <w:spacing w:after="0" w:line="162" w:lineRule="exact"/>
        <w:rPr>
          <w:sz w:val="20"/>
          <w:szCs w:val="20"/>
          <w:color w:val="auto"/>
        </w:rPr>
      </w:pPr>
    </w:p>
    <w:p>
      <w:pPr>
        <w:ind w:left="2820" w:right="140"/>
        <w:spacing w:after="0" w:line="266" w:lineRule="auto"/>
        <w:rPr>
          <w:sz w:val="20"/>
          <w:szCs w:val="20"/>
          <w:color w:val="auto"/>
        </w:rPr>
      </w:pPr>
      <w:r>
        <w:rPr>
          <w:rFonts w:ascii="Times New Roman" w:cs="Times New Roman" w:eastAsia="Times New Roman" w:hAnsi="Times New Roman"/>
          <w:sz w:val="18"/>
          <w:szCs w:val="18"/>
          <w:color w:val="auto"/>
        </w:rPr>
        <w:t>•   if no surplus exists, out of the net profits of the corporation for the year in which the dividend is declared and/or the preceding year.</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61" w:lineRule="auto"/>
        <w:rPr>
          <w:sz w:val="20"/>
          <w:szCs w:val="20"/>
          <w:color w:val="auto"/>
        </w:rPr>
      </w:pPr>
      <w:r>
        <w:rPr>
          <w:rFonts w:ascii="Times New Roman" w:cs="Times New Roman" w:eastAsia="Times New Roman" w:hAnsi="Times New Roman"/>
          <w:sz w:val="18"/>
          <w:szCs w:val="18"/>
          <w:color w:val="auto"/>
        </w:rPr>
        <w:t>preferential subscription rights, (iii) approval of a statutory merger or de-merger (scission), (iv) dissolution, (v) an amendment of the articles of association and (vi) change of nationality.</w:t>
      </w:r>
    </w:p>
    <w:p>
      <w:pPr>
        <w:spacing w:after="0" w:line="18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Pursuant to Luxembourg law, for any extraordinary resolutions to be approved at a general meeting, the quorum shall be at least one half (50%) of the issued share capital. If the said quorum is not present, a second meeting may be convened at which Luxembourg law does not prescribe a quorum. Any extraordinary resolution shall be adopted at a quorate general meeting (except as otherwise provided by mandatory law) by a two-thirds majority of the votes cast on such resolution by shareholders. Abstentions are not considered “votes.”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Luxembourg Company Law provides that if, as a result of losses, net assets fall below half of the share capital of the company, the board of directors shall convene an extraordinary general meeting of shareholders so that it is held within a period not exceeding two months from the time at which the loss was or should have been ascertained by them and such meeting shall resolve on the possible dissolution of the company and possibly on other measures announced in the agenda. The board of directors shall, in such situation, draw up a special report which sets out the causes of that situation and justify its proposals made available eight days before the extraordinary general meeting at the registered office. If it proposes to continue to conduct business, it shall set out in the report the measures it intends to take in order to remedy the financial situation of the company. The same rules apply if, as a result of losses, net assets fall below one-quarter of the share capital provided that in such case dissolution shall take place if approved by one-fourth of the votes casts at the extraordinary general meeting.</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Luxembourg law, the amount and payment of dividends or other distributions is determined by a simple majority vote at a general shareholders’ meeting based on the recommendation of the board of directors, except in certain limited circumstances. Pursuant to Alvotech’s articles of association, the board of directors has the power to pay interim dividends or make other distributions in accordance with applicable Luxembourg law. Distributions may be lawfully declared and paid if Alvotech’s net profits and/or distributable</w:t>
      </w:r>
    </w:p>
    <w:p>
      <w:pPr>
        <w:sectPr>
          <w:pgSz w:w="11900" w:h="16838" w:orient="portrait"/>
          <w:cols w:equalWidth="0" w:num="2">
            <w:col w:w="7100" w:space="100"/>
            <w:col w:w="4040"/>
          </w:cols>
          <w:pgMar w:left="320" w:top="121" w:right="339" w:bottom="1440" w:gutter="0" w:footer="0" w:header="0"/>
        </w:sectPr>
      </w:pPr>
    </w:p>
    <w:bookmarkStart w:id="69" w:name="page70"/>
    <w:bookmarkEnd w:id="69"/>
    <w:p>
      <w:pPr>
        <w:ind w:left="1700"/>
        <w:spacing w:after="0" w:line="254" w:lineRule="auto"/>
        <w:rPr>
          <w:sz w:val="20"/>
          <w:szCs w:val="20"/>
          <w:color w:val="auto"/>
        </w:rPr>
      </w:pPr>
      <w:r>
        <w:rPr>
          <w:rFonts w:ascii="Times New Roman" w:cs="Times New Roman" w:eastAsia="Times New Roman" w:hAnsi="Times New Roman"/>
          <w:sz w:val="18"/>
          <w:szCs w:val="18"/>
          <w:color w:val="auto"/>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spacing w:after="0" w:line="192" w:lineRule="exact"/>
        <w:rPr>
          <w:sz w:val="20"/>
          <w:szCs w:val="20"/>
          <w:color w:val="auto"/>
        </w:rPr>
      </w:pPr>
    </w:p>
    <w:p>
      <w:pPr>
        <w:ind w:left="1700" w:right="60"/>
        <w:spacing w:after="0" w:line="254" w:lineRule="auto"/>
        <w:rPr>
          <w:sz w:val="20"/>
          <w:szCs w:val="20"/>
          <w:color w:val="auto"/>
        </w:rPr>
      </w:pPr>
      <w:r>
        <w:rPr>
          <w:rFonts w:ascii="Times New Roman" w:cs="Times New Roman" w:eastAsia="Times New Roman" w:hAnsi="Times New Roman"/>
          <w:sz w:val="18"/>
          <w:szCs w:val="18"/>
          <w:color w:val="auto"/>
        </w:rPr>
        <w:t>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Times New Roman" w:cs="Times New Roman" w:eastAsia="Times New Roman" w:hAnsi="Times New Roman"/>
          <w:sz w:val="18"/>
          <w:szCs w:val="18"/>
          <w:color w:val="auto"/>
        </w:rPr>
        <w:t>reserves are sufficient under Luxembourg law. All ordinary shares rank pari passu with respect to the payment of dividends or other distributions unless the right to dividends or other distributions has been suspended in accordance with Alvotech’s articles of association or applicable law.</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Luxembourg law, at least 5% of Alvotech’s net profits per year must be allocated to the creation of a legal reserve until such reserve has reached an amount equal to 10% of Alvotech’s issued share capital. The allocation to the legal reserve becomes compulsory again when the legal reserve no longer represents 10% of Alvotech’s issued share capital. The legal reserve is not available for distribution.</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Luxembourg law, Alvotech (or any party acting on its behalf) may repurchase its own shares and hold them in treasury, provided that:</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 the shareholders at a general meeting have previously authorized the board of directors to acquire its ordinary shares. The general meeting shall determine the terms and conditions of the proposed acquisition and in particular the maximum number of shares to be acquired, the period for which the authorization is given (which may not exceed five years), and, in the case of acquisition for value, the maximum and minimum consideration;</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 the acquisitions, including shares previously acquired by Alvotech and held by it and shares acquired by a person acting in his or her own name but on Alvotech’s behalf, may not have the effect of reducing the net assets below the amount of the issued share capital plus the reserves (which may not be distributed by law or under the articles of association);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shares repurchased are fully paid-up; and</w:t>
      </w:r>
    </w:p>
    <w:p>
      <w:pPr>
        <w:spacing w:after="0" w:line="200" w:lineRule="exact"/>
        <w:rPr>
          <w:sz w:val="20"/>
          <w:szCs w:val="20"/>
          <w:color w:val="auto"/>
        </w:rPr>
      </w:pPr>
    </w:p>
    <w:p>
      <w:pPr>
        <w:sectPr>
          <w:pgSz w:w="11900" w:h="16838" w:orient="portrait"/>
          <w:cols w:equalWidth="0" w:num="2">
            <w:col w:w="5940" w:space="140"/>
            <w:col w:w="3980"/>
          </w:cols>
          <w:pgMar w:left="1440" w:top="121" w:right="399" w:bottom="1440" w:gutter="0" w:footer="0" w:header="0"/>
        </w:sectPr>
      </w:pP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 the acquisition offer must be made on the same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terms and conditions to all the shareholders who are in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same position, except for acquisitions which were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unanimously decided by a general meeting at which all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shareholders were present or represented. In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addition, listed companies may repurchase their own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shares on the stock</w:t>
      </w:r>
    </w:p>
    <w:p>
      <w:pPr>
        <w:spacing w:after="0" w:line="1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NUMBER OF DIRECTORS</w:t>
      </w:r>
      <w:r>
        <w:rPr>
          <w:sz w:val="20"/>
          <w:szCs w:val="20"/>
          <w:color w:val="auto"/>
        </w:rPr>
        <w:tab/>
      </w:r>
      <w:r>
        <w:rPr>
          <w:rFonts w:ascii="Times New Roman" w:cs="Times New Roman" w:eastAsia="Times New Roman" w:hAnsi="Times New Roman"/>
          <w:sz w:val="18"/>
          <w:szCs w:val="18"/>
          <w:color w:val="auto"/>
        </w:rPr>
        <w:t>A typical certificate of incorporation and bylaws would</w:t>
      </w:r>
    </w:p>
    <w:p>
      <w:pPr>
        <w:spacing w:after="0" w:line="31" w:lineRule="exact"/>
        <w:rPr>
          <w:sz w:val="20"/>
          <w:szCs w:val="20"/>
          <w:color w:val="auto"/>
        </w:rPr>
      </w:pPr>
    </w:p>
    <w:p>
      <w:pPr>
        <w:ind w:left="2820"/>
        <w:spacing w:after="0" w:line="255" w:lineRule="auto"/>
        <w:rPr>
          <w:sz w:val="20"/>
          <w:szCs w:val="20"/>
          <w:color w:val="auto"/>
        </w:rPr>
      </w:pPr>
      <w:r>
        <w:rPr>
          <w:rFonts w:ascii="Times New Roman" w:cs="Times New Roman" w:eastAsia="Times New Roman" w:hAnsi="Times New Roman"/>
          <w:sz w:val="18"/>
          <w:szCs w:val="18"/>
          <w:color w:val="auto"/>
        </w:rPr>
        <w:t>provide that the number of directors on the board of directors will be fixed from time to time by a vote of the majority of the authorized directors.</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exchange without an acquisition offer having to be made to Alvotech’s shareholders.</w:t>
      </w:r>
    </w:p>
    <w:p>
      <w:pPr>
        <w:spacing w:after="0" w:line="16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No prior authorization by shareholders is required (i) if the acquisition is made to prevent serious and imminent harm to Alvotech, provided that the board of directors informs the next general meeting of the reasons for and the purpose of the acquisitions made, the number and nominal values or the accounting value of the shares acquired, the proportion of the subscribed capital which they represent, and the consideration paid for them, and</w:t>
      </w:r>
    </w:p>
    <w:p>
      <w:pPr>
        <w:ind w:right="40" w:firstLine="3"/>
        <w:spacing w:after="0" w:line="252"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shares acquired by either Alvotech or by a person acting on its behalf with a view to redistributing the shares to its staff or staff of its controlled subsidiaries, provided that the distribution of such shares is made within 12 months from their acquisition.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Luxembourg law and in accordance with Alvotech’s articles of association, Alvotech’s board of directors must be composed of at least three directors. They are appointed by the general meeting of shareholders by a simple majority of the votes cast. Abstentions are not considered “votes.” Directors may be reelected, but the term of their office may not exceed three years in accordance with Alvotech’s articles of association.</w:t>
      </w:r>
    </w:p>
    <w:p>
      <w:pPr>
        <w:spacing w:after="0" w:line="184" w:lineRule="exact"/>
        <w:rPr>
          <w:sz w:val="20"/>
          <w:szCs w:val="20"/>
          <w:color w:val="auto"/>
        </w:rPr>
      </w:pPr>
    </w:p>
    <w:p>
      <w:pPr>
        <w:sectPr>
          <w:pgSz w:w="11900" w:h="16838" w:orient="portrait"/>
          <w:cols w:equalWidth="0" w:num="2">
            <w:col w:w="6880" w:space="320"/>
            <w:col w:w="4040"/>
          </w:cols>
          <w:pgMar w:left="320" w:top="121" w:right="339" w:bottom="1440" w:gutter="0" w:footer="0" w:header="0"/>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VACANCIES ON BOARD OF</w:t>
      </w:r>
      <w:r>
        <w:rPr>
          <w:sz w:val="20"/>
          <w:szCs w:val="20"/>
          <w:color w:val="auto"/>
        </w:rPr>
        <w:tab/>
      </w:r>
      <w:r>
        <w:rPr>
          <w:rFonts w:ascii="Times New Roman" w:cs="Times New Roman" w:eastAsia="Times New Roman" w:hAnsi="Times New Roman"/>
          <w:sz w:val="18"/>
          <w:szCs w:val="18"/>
          <w:color w:val="auto"/>
        </w:rPr>
        <w:t>The DGCL provides that vacancies and newly created</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directorships may be filled by a majority of the directors</w:t>
      </w:r>
    </w:p>
    <w:p>
      <w:pPr>
        <w:spacing w:after="0" w:line="9" w:lineRule="exact"/>
        <w:rPr>
          <w:sz w:val="20"/>
          <w:szCs w:val="20"/>
          <w:color w:val="auto"/>
        </w:rPr>
      </w:pPr>
    </w:p>
    <w:p>
      <w:pPr>
        <w:ind w:left="2820"/>
        <w:spacing w:after="0" w:line="252" w:lineRule="auto"/>
        <w:rPr>
          <w:sz w:val="20"/>
          <w:szCs w:val="20"/>
          <w:color w:val="auto"/>
        </w:rPr>
      </w:pPr>
      <w:r>
        <w:rPr>
          <w:rFonts w:ascii="Times New Roman" w:cs="Times New Roman" w:eastAsia="Times New Roman" w:hAnsi="Times New Roman"/>
          <w:sz w:val="18"/>
          <w:szCs w:val="18"/>
          <w:color w:val="auto"/>
        </w:rPr>
        <w:t>then in office (even though less than a quorum) unless (a) otherwise provided in the certificate of incorporation or by-laws of the corporation or (b) the certificate of incorporation directs that a particular class of stock is to elect such director, in which case any other directors elected by such class, or a sole remaining director elected by such class, will fill such vacancy.</w:t>
      </w:r>
    </w:p>
    <w:p>
      <w:pPr>
        <w:spacing w:after="0" w:line="18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8"/>
          <w:szCs w:val="18"/>
          <w:color w:val="auto"/>
        </w:rPr>
        <w:t>Under Delaware law, a board of directors can be divided</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STAGGERED TERM OF</w:t>
      </w:r>
      <w:r>
        <w:rPr>
          <w:sz w:val="20"/>
          <w:szCs w:val="20"/>
          <w:color w:val="auto"/>
        </w:rPr>
        <w:tab/>
      </w:r>
      <w:r>
        <w:rPr>
          <w:rFonts w:ascii="Times New Roman" w:cs="Times New Roman" w:eastAsia="Times New Roman" w:hAnsi="Times New Roman"/>
          <w:sz w:val="18"/>
          <w:szCs w:val="18"/>
          <w:color w:val="auto"/>
        </w:rPr>
        <w:t>into classes. The board of directors is divided into three</w:t>
      </w:r>
    </w:p>
    <w:p>
      <w:pPr>
        <w:spacing w:after="0" w:line="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classes, with only one class of directors being elected in</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each year and each class serving a three-year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Alvotech’s articles of association provide that in case of a vacancy the remaining members of the board of directors may elect a director to fill the vacancy, on a temporary basis and for a period of time not exceeding the initial mandate of the replaced member of the board of directors, until the next general meeting of shareholders, which shall resolve on the permanent appointment in compliance with the applicable legal provisions and the articles of association.</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Luxembourg law, a director may be removed at any time by the general meeting of shareholders by a simple majority of the votes cast, with or without cause.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Alvotech’s articles of association provides that the duration of the mandate of the directors will not exceed three (3) years. Directors of Alvotech may be reappointed for successive terms.</w:t>
      </w:r>
    </w:p>
    <w:p>
      <w:pPr>
        <w:sectPr>
          <w:pgSz w:w="11900" w:h="16838" w:orient="portrait"/>
          <w:cols w:equalWidth="0" w:num="2">
            <w:col w:w="6980" w:space="220"/>
            <w:col w:w="4040"/>
          </w:cols>
          <w:pgMar w:left="320" w:top="121" w:right="339" w:bottom="1440" w:gutter="0" w:footer="0" w:header="0"/>
          <w:type w:val="continuous"/>
        </w:sectPr>
      </w:pPr>
    </w:p>
    <w:bookmarkStart w:id="71" w:name="page72"/>
    <w:bookmarkEnd w:id="71"/>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CUMULATIVE VOTING</w:t>
      </w:r>
      <w:r>
        <w:rPr>
          <w:sz w:val="20"/>
          <w:szCs w:val="20"/>
          <w:color w:val="auto"/>
        </w:rPr>
        <w:tab/>
      </w:r>
      <w:r>
        <w:rPr>
          <w:rFonts w:ascii="Times New Roman" w:cs="Times New Roman" w:eastAsia="Times New Roman" w:hAnsi="Times New Roman"/>
          <w:sz w:val="18"/>
          <w:szCs w:val="18"/>
          <w:color w:val="auto"/>
        </w:rPr>
        <w:t>Under the DGCL, a corporation may adopt in its certificate  Not applicable.</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of incorporation that its directors shall be elected by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cumulative voting. When directors are elected by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cumulative voting, a stockholder has a number of votes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equal to the number of shares held by such stockholder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multiplied by the number of directors nominated for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election. The stockholder may cast all of such votes for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one director or among the directors in any proportion.</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 OF GOVERNING  </w:t>
      </w:r>
      <w:r>
        <w:rPr>
          <w:rFonts w:ascii="Times New Roman" w:cs="Times New Roman" w:eastAsia="Times New Roman" w:hAnsi="Times New Roman"/>
          <w:sz w:val="18"/>
          <w:szCs w:val="18"/>
          <w:color w:val="auto"/>
        </w:rPr>
        <w:t>Under the DGCL, a certificate of incorporation may be</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DOCUMENTS</w:t>
      </w:r>
      <w:r>
        <w:rPr>
          <w:sz w:val="20"/>
          <w:szCs w:val="20"/>
          <w:color w:val="auto"/>
        </w:rPr>
        <w:tab/>
      </w:r>
      <w:r>
        <w:rPr>
          <w:rFonts w:ascii="Times New Roman" w:cs="Times New Roman" w:eastAsia="Times New Roman" w:hAnsi="Times New Roman"/>
          <w:sz w:val="18"/>
          <w:szCs w:val="18"/>
          <w:color w:val="auto"/>
        </w:rPr>
        <w:t>amended if:</w:t>
      </w:r>
    </w:p>
    <w:p>
      <w:pPr>
        <w:spacing w:after="0" w:line="207" w:lineRule="exact"/>
        <w:rPr>
          <w:sz w:val="20"/>
          <w:szCs w:val="20"/>
          <w:color w:val="auto"/>
        </w:rPr>
      </w:pPr>
    </w:p>
    <w:p>
      <w:pPr>
        <w:ind w:left="2820" w:right="40" w:firstLine="324"/>
        <w:spacing w:after="0" w:line="261" w:lineRule="auto"/>
        <w:rPr>
          <w:sz w:val="20"/>
          <w:szCs w:val="20"/>
          <w:color w:val="auto"/>
        </w:rPr>
      </w:pPr>
      <w:r>
        <w:rPr>
          <w:rFonts w:ascii="Times New Roman" w:cs="Times New Roman" w:eastAsia="Times New Roman" w:hAnsi="Times New Roman"/>
          <w:sz w:val="18"/>
          <w:szCs w:val="18"/>
          <w:color w:val="auto"/>
        </w:rPr>
        <w:t>•   the board of directors sets forth the proposed amendment in a resolution, declares the advisability of the amendment and directs that it be submitted to a vote at a meeting of stockholders; and</w:t>
      </w:r>
    </w:p>
    <w:p>
      <w:pPr>
        <w:spacing w:after="0" w:line="180" w:lineRule="exact"/>
        <w:rPr>
          <w:sz w:val="20"/>
          <w:szCs w:val="20"/>
          <w:color w:val="auto"/>
        </w:rPr>
      </w:pPr>
    </w:p>
    <w:p>
      <w:pPr>
        <w:ind w:left="2820" w:firstLine="324"/>
        <w:spacing w:after="0" w:line="261" w:lineRule="auto"/>
        <w:rPr>
          <w:sz w:val="20"/>
          <w:szCs w:val="20"/>
          <w:color w:val="auto"/>
        </w:rPr>
      </w:pPr>
      <w:r>
        <w:rPr>
          <w:rFonts w:ascii="Times New Roman" w:cs="Times New Roman" w:eastAsia="Times New Roman" w:hAnsi="Times New Roman"/>
          <w:sz w:val="18"/>
          <w:szCs w:val="18"/>
          <w:color w:val="auto"/>
        </w:rPr>
        <w:t>•   the holders of at least a majority of shares of stock entitled to vote on the matter approve the amendment, unless the certificate of incorporation requires the vote of a greater number of shares.</w:t>
      </w:r>
    </w:p>
    <w:p>
      <w:pPr>
        <w:spacing w:after="0" w:line="180" w:lineRule="exact"/>
        <w:rPr>
          <w:sz w:val="20"/>
          <w:szCs w:val="20"/>
          <w:color w:val="auto"/>
        </w:rPr>
      </w:pPr>
    </w:p>
    <w:p>
      <w:pPr>
        <w:ind w:left="2820" w:right="20"/>
        <w:spacing w:after="0" w:line="254" w:lineRule="auto"/>
        <w:rPr>
          <w:sz w:val="20"/>
          <w:szCs w:val="20"/>
          <w:color w:val="auto"/>
        </w:rPr>
      </w:pPr>
      <w:r>
        <w:rPr>
          <w:rFonts w:ascii="Times New Roman" w:cs="Times New Roman" w:eastAsia="Times New Roman" w:hAnsi="Times New Roman"/>
          <w:sz w:val="18"/>
          <w:szCs w:val="18"/>
          <w:color w:val="auto"/>
        </w:rPr>
        <w:t>In addition, under the DGCL, class voting rights exist with respect to amendments to the charter that adversely affect the terms of the shares of a class. Class voting rights do not exist as to other extraordinary matters, unless the charter provides otherwise. Under the DGCL, the board of directors may amend a corporation’s bylaws if so authorized in the charter. The stockholders of a Delaware corporation also have the power to amend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Luxembourg law, amendments to Alvotech’s articles of association require an extraordinary general meeting of shareholders held in front of a Luxembourg notary at which at least one half (50%) of the share capital is present or represented.</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notice of the extraordinary general meeting shall set out the proposed amendments to the articles of association.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aforementioned quorum is not reached, a second meeting may be convened by means of a notice published in the Luxembourg official electronic gazette (RESA) and in a Luxembourg newspaper. The second meeting shall be validly constituted regardless of the proportion of the share capital present or represented.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both meetings, resolutions will be adopted if approved by at least two-thirds of the votes cast by shareholders (unless otherwise required by Luxembourg law or the articles of association). Where different classes of shares exist and the resolution to be adopted by the general meeting of shareholders changes the respective rights attaching to such shares, the resolution will be adopted only if the conditions as to quorum and majority set out above are fulfilled with respect to each class of shares.</w:t>
      </w:r>
    </w:p>
    <w:p>
      <w:pPr>
        <w:spacing w:after="0" w:line="194"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An increase of the commitments of the shareholders requires the unanimous consent of the shareholders.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Alvotech’s articles of association and the Luxembourg Company Law provide that for any extraordinary resolutions to be considered at a general meeting, the quorum shall be at least one-half of Alvotech’s issued share capital. If the said quorum is not present, a second meeting may be convened at which Luxembourg law does not prescribe a quorum. Any extraordinary resolution shall be adopted</w:t>
      </w:r>
    </w:p>
    <w:p>
      <w:pPr>
        <w:sectPr>
          <w:pgSz w:w="11900" w:h="16838" w:orient="portrait"/>
          <w:cols w:equalWidth="0" w:num="2">
            <w:col w:w="7080" w:space="120"/>
            <w:col w:w="4040"/>
          </w:cols>
          <w:pgMar w:left="320" w:top="117" w:right="33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INDEMNIFICATION OF</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DGCL generally permits a corporation to indemnify</w:t>
            </w:r>
          </w:p>
        </w:tc>
      </w:tr>
      <w:tr>
        <w:trPr>
          <w:trHeight w:val="220"/>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OFFICERS</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directors and officers against expenses, judgments,</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fines and amounts paid in settlement actually and</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reasonably incurred in connection with a third-party</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action, other than a derivative action, and against expenses</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actually and reasonably incurred in the defense or</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of a derivative action, provided that there is a</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determination made by the corporation that the individual</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acted in good faith and in a manner reasonably believed to</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 in or not opposed to the best interests of the</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corporation. Such determination shall be made, in the case</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an individual who is a director or officer at the time of</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determination:</w:t>
            </w:r>
          </w:p>
        </w:tc>
      </w:tr>
      <w:tr>
        <w:trPr>
          <w:trHeight w:val="414"/>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a majority of the disinterested directors, even</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though less than a quorum;</w:t>
            </w:r>
          </w:p>
        </w:tc>
      </w:tr>
      <w:tr>
        <w:trPr>
          <w:trHeight w:val="414"/>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 by a committee of disinterested directors designated by</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 majority vote of disinterested, directors, even though less</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than a quorum;</w:t>
            </w:r>
          </w:p>
        </w:tc>
      </w:tr>
      <w:tr>
        <w:trPr>
          <w:trHeight w:val="414"/>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independent legal counsel, regardless of whether a</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quorum of disinterested directors exists; or</w:t>
            </w:r>
          </w:p>
        </w:tc>
      </w:tr>
      <w:tr>
        <w:trPr>
          <w:trHeight w:val="432"/>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the stockholders.</w:t>
            </w:r>
          </w:p>
        </w:tc>
      </w:tr>
      <w:tr>
        <w:trPr>
          <w:trHeight w:val="414"/>
        </w:trPr>
        <w:tc>
          <w:tcPr>
            <w:tcW w:w="2640" w:type="dxa"/>
            <w:vAlign w:val="bottom"/>
          </w:tcPr>
          <w:p>
            <w:pPr>
              <w:spacing w:after="0"/>
              <w:rPr>
                <w:sz w:val="24"/>
                <w:szCs w:val="24"/>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court approval, however, no indemnification may</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 made in respect of any</w:t>
            </w:r>
          </w:p>
        </w:tc>
      </w:tr>
      <w:tr>
        <w:trPr>
          <w:trHeight w:val="823"/>
        </w:trPr>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at a quorate general meeting (save as otherwise provided by mandatory law) by a two-thirds majority of the votes cast on such resolution by shareholders. Abstentions are not considered “votes.”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very limited circumstances, the board of directors may be authorized by the shareholders to amend the articles of association, albeit always within the limits set forth by the shareholders at a duly convened shareholders’ meeting. This is the case in the context of Alvotech’s authorized share capital within which the board of directors is authorized to issue further ordinary shares. The board of directors is then authorized to appear in front of a Luxembourg notary to record the capital increase and to amend the share capital set forth in the articles of association. The above also applies in case of the transfer of Alvotech’s registered office outside the current municipality.</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Luxembourg law permits Alvotech to keep directors indemnified against any expenses, judgments, fines and amounts paid in connection with liability of a director towards Alvotech or a third party for management errors i.e., for wrongful acts committed during the execution of the mandate (</w:t>
      </w:r>
      <w:r>
        <w:rPr>
          <w:rFonts w:ascii="Times New Roman" w:cs="Times New Roman" w:eastAsia="Times New Roman" w:hAnsi="Times New Roman"/>
          <w:sz w:val="18"/>
          <w:szCs w:val="18"/>
          <w:i w:val="1"/>
          <w:iCs w:val="1"/>
          <w:color w:val="auto"/>
        </w:rPr>
        <w:t>mandat</w:t>
      </w:r>
      <w:r>
        <w:rPr>
          <w:rFonts w:ascii="Times New Roman" w:cs="Times New Roman" w:eastAsia="Times New Roman" w:hAnsi="Times New Roman"/>
          <w:sz w:val="18"/>
          <w:szCs w:val="18"/>
          <w:color w:val="auto"/>
        </w:rPr>
        <w:t>) granted to the director by Alvotech, except in connection with willful misfeasance, bad faith, gross negligence or reckless disregard of the duties involved in the conduct of his or her office.</w:t>
      </w:r>
    </w:p>
    <w:p>
      <w:pPr>
        <w:spacing w:after="0" w:line="194"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Under the articles of association of the company, the members of the board of directors, officers, employees and agents of Alvotech are not held personally liable for the indebtedness or other obligations of Alvotech. As agents of Alvotech, they are responsible for the performance of their duties. Subject to the exceptions and limitations listed in the articles of association of Alvotech and mandatory provisions of law, every person who is, or has been, a member of the board of directors, officer (</w:t>
      </w:r>
      <w:r>
        <w:rPr>
          <w:rFonts w:ascii="Times New Roman" w:cs="Times New Roman" w:eastAsia="Times New Roman" w:hAnsi="Times New Roman"/>
          <w:sz w:val="18"/>
          <w:szCs w:val="18"/>
          <w:i w:val="1"/>
          <w:iCs w:val="1"/>
          <w:color w:val="auto"/>
        </w:rPr>
        <w:t>mandataire</w:t>
      </w:r>
      <w:r>
        <w:rPr>
          <w:rFonts w:ascii="Times New Roman" w:cs="Times New Roman" w:eastAsia="Times New Roman" w:hAnsi="Times New Roman"/>
          <w:sz w:val="18"/>
          <w:szCs w:val="18"/>
          <w:color w:val="auto"/>
        </w:rPr>
        <w:t>) or agent of Alvotech (and any other persons to which applicable law permits Alvotech to provide indemnification, including any person who is or was a director or officer of Alvotech, is or was serving at the request of Alvotech as a director, officer (</w:t>
      </w:r>
      <w:r>
        <w:rPr>
          <w:rFonts w:ascii="Times New Roman" w:cs="Times New Roman" w:eastAsia="Times New Roman" w:hAnsi="Times New Roman"/>
          <w:sz w:val="18"/>
          <w:szCs w:val="18"/>
          <w:i w:val="1"/>
          <w:iCs w:val="1"/>
          <w:color w:val="auto"/>
        </w:rPr>
        <w:t>mandataire</w:t>
      </w:r>
      <w:r>
        <w:rPr>
          <w:rFonts w:ascii="Times New Roman" w:cs="Times New Roman" w:eastAsia="Times New Roman" w:hAnsi="Times New Roman"/>
          <w:sz w:val="18"/>
          <w:szCs w:val="18"/>
          <w:color w:val="auto"/>
        </w:rPr>
        <w:t>), employee or agent of another company, partnership, joint venture, trust or other enterprise or employee benefit plan) (collectively, the “Covered Persons”), shall be</w:t>
      </w:r>
    </w:p>
    <w:p>
      <w:pPr>
        <w:sectPr>
          <w:pgSz w:w="11900" w:h="16838" w:orient="portrait"/>
          <w:cols w:equalWidth="0" w:num="2">
            <w:col w:w="7080" w:space="120"/>
            <w:col w:w="4040"/>
          </w:cols>
          <w:pgMar w:left="320" w:top="121" w:right="339" w:bottom="1440" w:gutter="0" w:footer="0" w:header="0"/>
        </w:sectPr>
      </w:pPr>
    </w:p>
    <w:bookmarkStart w:id="73" w:name="page74"/>
    <w:bookmarkEnd w:id="73"/>
    <w:p>
      <w:pPr>
        <w:ind w:left="1700" w:right="80"/>
        <w:spacing w:after="0" w:line="282" w:lineRule="auto"/>
        <w:rPr>
          <w:sz w:val="20"/>
          <w:szCs w:val="20"/>
          <w:color w:val="auto"/>
        </w:rPr>
      </w:pPr>
      <w:r>
        <w:rPr>
          <w:rFonts w:ascii="Times New Roman" w:cs="Times New Roman" w:eastAsia="Times New Roman" w:hAnsi="Times New Roman"/>
          <w:sz w:val="18"/>
          <w:szCs w:val="18"/>
          <w:color w:val="auto"/>
        </w:rPr>
        <w:t>derivative action in which an individual is adjudged liable to the corporation.</w:t>
      </w:r>
    </w:p>
    <w:p>
      <w:pPr>
        <w:spacing w:after="0" w:line="162" w:lineRule="exact"/>
        <w:rPr>
          <w:sz w:val="20"/>
          <w:szCs w:val="20"/>
          <w:color w:val="auto"/>
        </w:rPr>
      </w:pPr>
    </w:p>
    <w:p>
      <w:pPr>
        <w:ind w:left="1700"/>
        <w:spacing w:after="0" w:line="254" w:lineRule="auto"/>
        <w:rPr>
          <w:sz w:val="20"/>
          <w:szCs w:val="20"/>
          <w:color w:val="auto"/>
        </w:rPr>
      </w:pPr>
      <w:r>
        <w:rPr>
          <w:rFonts w:ascii="Times New Roman" w:cs="Times New Roman" w:eastAsia="Times New Roman" w:hAnsi="Times New Roman"/>
          <w:sz w:val="18"/>
          <w:szCs w:val="18"/>
          <w:color w:val="auto"/>
        </w:rPr>
        <w:t>The DGCL requires indemnification of directors and officers for expenses relating to a successful defense on the merits or otherwise of a derivative or third-party action. The DGCL permits a corporation to advance expenses relating to the defense of any proceeding to directors and officers contingent upon those individuals’ commitment to repay any advances, unless it is determined ultimately that those individuals are entitled to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Times New Roman" w:cs="Times New Roman" w:eastAsia="Times New Roman" w:hAnsi="Times New Roman"/>
          <w:sz w:val="18"/>
          <w:szCs w:val="18"/>
          <w:color w:val="auto"/>
        </w:rPr>
        <w:t>indemnified by Alvotech to the fullest extent permitted by law against liability and against all expenses reasonably incurred or paid by them in connection with any claim, action, suit or proceeding which they become involved as a party or otherwise by virtue of his or her being or having been a Covered Person and against amounts paid or incurred by him or her in the settlement thereof. If applicable law is amended after approval of the current articles of association of Alvotech to authorize corporate action further eliminating or limiting the personal liability of Covered Persons, then the liability of a Covered Person to Alvotech shall be eliminated or limited to the fullest extent permitted by applicable law as so amended. The words “claim”, “action”, “suit” or “proceeding” shall apply to all claims, actions, suits or proceedings (civil, criminal or otherwise including appeals) actual or threatened and the words “liability” and “expenses” shall include without limitation attorneys’ fees, costs, judgments, amounts paid in settlement and other liabilities.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Expenses (including attorneys’ fees) incurred by a Covered Person in defending any claim (save for fraud, negligence or willful misconduct’s claims) shall be paid by Alvotech in advance of the final disposition of such claim upon receipt of an undertaking by or on behalf of such Covered Person to repay such amount if it shall ultimately be determined that such person is not entitled to be indemnified by Alvotech as authorized in Alvotech’s articles of association. Such expenses (including attorneys’ fees) incurred by former Covered Persons may be so paid upon such terms and conditions, if any, as Alvotech deems appropriate.</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Alvotech’s articles of association shall not be deemed exclusive of any other rights to which those seeking indemnification or advancement of expenses may be entitled under this present articles of association, agreement, vote of shareholders or disinterested directors or otherwise, both as to action in such person’s official capacity and as to action in another capacity while holding such office, it being the policy of Alvotech that indemnification of the persons specified in Alvotech’s articles of</w:t>
      </w:r>
    </w:p>
    <w:p>
      <w:pPr>
        <w:sectPr>
          <w:pgSz w:w="11900" w:h="16838" w:orient="portrait"/>
          <w:cols w:equalWidth="0" w:num="2">
            <w:col w:w="5960" w:space="120"/>
            <w:col w:w="4020"/>
          </w:cols>
          <w:pgMar w:left="1440" w:top="121" w:right="35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LIMITED LIABILITY OF</w:t>
      </w:r>
      <w:r>
        <w:rPr>
          <w:sz w:val="20"/>
          <w:szCs w:val="20"/>
          <w:color w:val="auto"/>
        </w:rPr>
        <w:tab/>
      </w:r>
      <w:r>
        <w:rPr>
          <w:rFonts w:ascii="Times New Roman" w:cs="Times New Roman" w:eastAsia="Times New Roman" w:hAnsi="Times New Roman"/>
          <w:sz w:val="18"/>
          <w:szCs w:val="18"/>
          <w:color w:val="auto"/>
        </w:rPr>
        <w:t>Delaware law permits limiting or eliminating the monetary</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liability of a director to a corporation or its stockholders,</w:t>
      </w:r>
    </w:p>
    <w:p>
      <w:pPr>
        <w:spacing w:after="0" w:line="9" w:lineRule="exact"/>
        <w:rPr>
          <w:sz w:val="20"/>
          <w:szCs w:val="20"/>
          <w:color w:val="auto"/>
        </w:rPr>
      </w:pPr>
    </w:p>
    <w:p>
      <w:pPr>
        <w:ind w:left="2820"/>
        <w:spacing w:after="0" w:line="255" w:lineRule="auto"/>
        <w:rPr>
          <w:sz w:val="20"/>
          <w:szCs w:val="20"/>
          <w:color w:val="auto"/>
        </w:rPr>
      </w:pPr>
      <w:r>
        <w:rPr>
          <w:rFonts w:ascii="Times New Roman" w:cs="Times New Roman" w:eastAsia="Times New Roman" w:hAnsi="Times New Roman"/>
          <w:sz w:val="18"/>
          <w:szCs w:val="18"/>
          <w:color w:val="auto"/>
        </w:rPr>
        <w:t>except with regard to breaches of duty of loyalty, intentional misconduct, unlawful repurchases or dividends, or improper personal benefit.</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association shall be made to the fullest extent permitted by law.</w:t>
      </w:r>
    </w:p>
    <w:p>
      <w:pPr>
        <w:spacing w:after="0" w:line="16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No indemnification shall be provided to any Covered Person (i) against any liability by reason of willful misfeasance, bad faith, gross negligence or reckless disregard of the duties involved in the conduct of his or her office (ii) with respect to any matter as to which he or she shall have been finally adjudicated to have acted in bad faith and not in the interest of Alvotech or (iii) in the event of a settlement, unless the settlement has been approved by a court of competent jurisdiction or by the board of directors. The termination of any claim, or upon a plea of nolo contendere or its equivalent, shall not, of itself, create a presumption that the person did not act in good faith and in a manner which such person reasonably believed to be in or not opposed to the best interests of Alvotech, and, with respect to any claim, had reasonable cause to believe that such person’s conduct was unlawful. The right of indemnification set out above shall be severable, shall not affect any other rights to which any Covered Person may now or hereafter be entitled, shall continue as to a person who has ceased to be such Covered Person and shall inure to the benefit of the heirs, executors and administrators of such a person. Nothing contained herein shall affect or limit any rights to indemnification to which corporate personnel, including Covered Persons, may be entitled by contract or otherwise under law. Alvotech shall specifically be entitled to provide contractual indemnification to and may purchase and maintain insurance for any corporate personnel, including Covered Persons, as Alvotech may decide upon from time to time.</w:t>
      </w:r>
    </w:p>
    <w:p>
      <w:pPr>
        <w:spacing w:after="0" w:line="20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obligations of Alvotech under Alvotech’s articles of association only apply to Covered Persons in their capacity as Covered Persons.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Luxembourg law does not provide for an ex ante limitation of liability but it permits Alvotech to keep directors indemnified as set out above.</w:t>
      </w:r>
    </w:p>
    <w:p>
      <w:pPr>
        <w:spacing w:after="0" w:line="603" w:lineRule="exact"/>
        <w:rPr>
          <w:sz w:val="20"/>
          <w:szCs w:val="20"/>
          <w:color w:val="auto"/>
        </w:rPr>
      </w:pPr>
    </w:p>
    <w:p>
      <w:pPr>
        <w:sectPr>
          <w:pgSz w:w="11900" w:h="16838" w:orient="portrait"/>
          <w:cols w:equalWidth="0" w:num="2">
            <w:col w:w="7080" w:space="120"/>
            <w:col w:w="4040"/>
          </w:cols>
          <w:pgMar w:left="320" w:top="121" w:right="339" w:bottom="1440" w:gutter="0" w:footer="0" w:header="0"/>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ADVANCE NOTIFICATION</w:t>
      </w:r>
      <w:r>
        <w:rPr>
          <w:sz w:val="20"/>
          <w:szCs w:val="20"/>
          <w:color w:val="auto"/>
        </w:rPr>
        <w:tab/>
      </w:r>
      <w:r>
        <w:rPr>
          <w:rFonts w:ascii="Times New Roman" w:cs="Times New Roman" w:eastAsia="Times New Roman" w:hAnsi="Times New Roman"/>
          <w:sz w:val="18"/>
          <w:szCs w:val="18"/>
          <w:color w:val="auto"/>
        </w:rPr>
        <w:t>Delaware corporations typically have provisions in their</w:t>
      </w:r>
    </w:p>
    <w:p>
      <w:pPr>
        <w:spacing w:after="0" w:line="31" w:lineRule="exact"/>
        <w:rPr>
          <w:sz w:val="20"/>
          <w:szCs w:val="20"/>
          <w:color w:val="auto"/>
        </w:rPr>
      </w:pPr>
    </w:p>
    <w:p>
      <w:pPr>
        <w:ind w:left="2820" w:hanging="2820"/>
        <w:spacing w:after="0" w:line="260" w:lineRule="auto"/>
        <w:tabs>
          <w:tab w:leader="none" w:pos="2800" w:val="left"/>
        </w:tabs>
        <w:rPr>
          <w:sz w:val="20"/>
          <w:szCs w:val="20"/>
          <w:color w:val="auto"/>
        </w:rPr>
      </w:pPr>
      <w:r>
        <w:rPr>
          <w:rFonts w:ascii="Times New Roman" w:cs="Times New Roman" w:eastAsia="Times New Roman" w:hAnsi="Times New Roman"/>
          <w:sz w:val="18"/>
          <w:szCs w:val="18"/>
          <w:b w:val="1"/>
          <w:bCs w:val="1"/>
          <w:color w:val="auto"/>
        </w:rPr>
        <w:t>REQUIREMENTS FOR</w:t>
      </w:r>
      <w:r>
        <w:rPr>
          <w:sz w:val="20"/>
          <w:szCs w:val="20"/>
          <w:color w:val="auto"/>
        </w:rPr>
        <w:tab/>
      </w:r>
      <w:r>
        <w:rPr>
          <w:rFonts w:ascii="Times New Roman" w:cs="Times New Roman" w:eastAsia="Times New Roman" w:hAnsi="Times New Roman"/>
          <w:sz w:val="18"/>
          <w:szCs w:val="18"/>
          <w:color w:val="auto"/>
        </w:rPr>
        <w:t>bylaws that require a stockholder proposing a nominee for election to the board of directors or other proposals at</w:t>
      </w:r>
    </w:p>
    <w:p>
      <w:pPr>
        <w:spacing w:after="0" w:line="3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One or several shareholders holding at least 10% of the share capital may request the addition of one or several items on the agenda of a general meeting. Such request must be</w:t>
      </w:r>
    </w:p>
    <w:p>
      <w:pPr>
        <w:sectPr>
          <w:pgSz w:w="11900" w:h="16838" w:orient="portrait"/>
          <w:cols w:equalWidth="0" w:num="2">
            <w:col w:w="7020" w:space="180"/>
            <w:col w:w="4040"/>
          </w:cols>
          <w:pgMar w:left="320" w:top="121" w:right="339" w:bottom="1440" w:gutter="0" w:footer="0" w:header="0"/>
          <w:type w:val="continuous"/>
        </w:sectPr>
      </w:pPr>
    </w:p>
    <w:bookmarkStart w:id="75" w:name="page76"/>
    <w:bookmarkEnd w:id="75"/>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PROPOSALS OF</w:t>
      </w:r>
      <w:r>
        <w:rPr>
          <w:sz w:val="20"/>
          <w:szCs w:val="20"/>
          <w:color w:val="auto"/>
        </w:rPr>
        <w:tab/>
      </w:r>
      <w:r>
        <w:rPr>
          <w:rFonts w:ascii="Times New Roman" w:cs="Times New Roman" w:eastAsia="Times New Roman" w:hAnsi="Times New Roman"/>
          <w:sz w:val="18"/>
          <w:szCs w:val="18"/>
          <w:color w:val="auto"/>
        </w:rPr>
        <w:t>an annual or special meeting of the stockholders to provide</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SHAREHOLDERS</w:t>
      </w:r>
      <w:r>
        <w:rPr>
          <w:sz w:val="20"/>
          <w:szCs w:val="20"/>
          <w:color w:val="auto"/>
        </w:rPr>
        <w:tab/>
      </w:r>
      <w:r>
        <w:rPr>
          <w:rFonts w:ascii="Times New Roman" w:cs="Times New Roman" w:eastAsia="Times New Roman" w:hAnsi="Times New Roman"/>
          <w:sz w:val="18"/>
          <w:szCs w:val="18"/>
          <w:color w:val="auto"/>
        </w:rPr>
        <w:t>notice of any such proposals to the secretary of the</w:t>
      </w:r>
    </w:p>
    <w:p>
      <w:pPr>
        <w:spacing w:after="0" w:line="9" w:lineRule="exact"/>
        <w:rPr>
          <w:sz w:val="20"/>
          <w:szCs w:val="20"/>
          <w:color w:val="auto"/>
        </w:rPr>
      </w:pPr>
    </w:p>
    <w:p>
      <w:pPr>
        <w:ind w:left="2820" w:right="40"/>
        <w:spacing w:after="0" w:line="251" w:lineRule="auto"/>
        <w:rPr>
          <w:sz w:val="20"/>
          <w:szCs w:val="20"/>
          <w:color w:val="auto"/>
        </w:rPr>
      </w:pPr>
      <w:r>
        <w:rPr>
          <w:rFonts w:ascii="Times New Roman" w:cs="Times New Roman" w:eastAsia="Times New Roman" w:hAnsi="Times New Roman"/>
          <w:sz w:val="18"/>
          <w:szCs w:val="18"/>
          <w:color w:val="auto"/>
        </w:rPr>
        <w:t>corporation in advance of the meeting for any such proposal to be brought before the meeting of the stockholders. In addition, advance notice bylaws frequently require the stockholder nominating a person for election to the board of directors to provide information about the nominee, such as his or her age, address, employment and beneficial ownership of shares of the corporation’s capital stock. The stockholder may also be required to disclose, among other things, his or her name, share ownership and agreement, arrangement or understanding with respect to such nomination.</w:t>
      </w:r>
    </w:p>
    <w:p>
      <w:pPr>
        <w:spacing w:after="0" w:line="192" w:lineRule="exact"/>
        <w:rPr>
          <w:sz w:val="20"/>
          <w:szCs w:val="20"/>
          <w:color w:val="auto"/>
        </w:rPr>
      </w:pPr>
    </w:p>
    <w:p>
      <w:pPr>
        <w:ind w:left="2820"/>
        <w:spacing w:after="0" w:line="254" w:lineRule="auto"/>
        <w:rPr>
          <w:sz w:val="20"/>
          <w:szCs w:val="20"/>
          <w:color w:val="auto"/>
        </w:rPr>
      </w:pPr>
      <w:r>
        <w:rPr>
          <w:rFonts w:ascii="Times New Roman" w:cs="Times New Roman" w:eastAsia="Times New Roman" w:hAnsi="Times New Roman"/>
          <w:sz w:val="18"/>
          <w:szCs w:val="18"/>
          <w:color w:val="auto"/>
        </w:rPr>
        <w:t>For other proposals, the proposing stockholder is often required by the bylaws to provide a description of the proposal and any other information relating to such stockholder or beneficial owner, if any, on whose behalf that proposal is being made, required to be disclosed in a proxy statement or other filings required to be made in connection with solicitation of proxies for the proposal and pursuant to and in accordance with the Exchange Act and the rules and regulations promulgated thereunder.</w:t>
      </w:r>
    </w:p>
    <w:p>
      <w:pPr>
        <w:spacing w:after="0" w:line="18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SHAREHOLDERS’ SUITS</w:t>
      </w:r>
      <w:r>
        <w:rPr>
          <w:sz w:val="20"/>
          <w:szCs w:val="20"/>
          <w:color w:val="auto"/>
        </w:rPr>
        <w:tab/>
      </w:r>
      <w:r>
        <w:rPr>
          <w:rFonts w:ascii="Times New Roman" w:cs="Times New Roman" w:eastAsia="Times New Roman" w:hAnsi="Times New Roman"/>
          <w:sz w:val="17"/>
          <w:szCs w:val="17"/>
          <w:color w:val="auto"/>
        </w:rPr>
        <w:t>Under Delaware law, a stockholder may bring a derivative</w:t>
      </w:r>
    </w:p>
    <w:p>
      <w:pPr>
        <w:spacing w:after="0" w:line="31" w:lineRule="exact"/>
        <w:rPr>
          <w:sz w:val="20"/>
          <w:szCs w:val="20"/>
          <w:color w:val="auto"/>
        </w:rPr>
      </w:pPr>
    </w:p>
    <w:p>
      <w:pPr>
        <w:ind w:left="2820"/>
        <w:spacing w:after="0" w:line="251" w:lineRule="auto"/>
        <w:rPr>
          <w:sz w:val="20"/>
          <w:szCs w:val="20"/>
          <w:color w:val="auto"/>
        </w:rPr>
      </w:pPr>
      <w:r>
        <w:rPr>
          <w:rFonts w:ascii="Times New Roman" w:cs="Times New Roman" w:eastAsia="Times New Roman" w:hAnsi="Times New Roman"/>
          <w:sz w:val="18"/>
          <w:szCs w:val="18"/>
          <w:color w:val="auto"/>
        </w:rPr>
        <w:t>action on a company’s behalf to enforce the rights of a company. An individual also may commence a class action lawsuit on behalf of himself or herself and other similarly situated stockholders if the requirements for maintaining a class action lawsuit under Delaware law are met. An individual may institute and maintain a class action lawsuit only if such person was a stockholder at the time of the transaction that is the subject of the lawsuit or his or her shares thereafter devolved upon him or her by operation of law. In addition, the plaintiff must generally be a stockholder through the duration of the lawsuit.</w:t>
      </w:r>
    </w:p>
    <w:p>
      <w:pPr>
        <w:spacing w:after="0" w:line="192" w:lineRule="exact"/>
        <w:rPr>
          <w:sz w:val="20"/>
          <w:szCs w:val="20"/>
          <w:color w:val="auto"/>
        </w:rPr>
      </w:pPr>
    </w:p>
    <w:p>
      <w:pPr>
        <w:ind w:left="2820" w:right="240"/>
        <w:spacing w:after="0" w:line="261" w:lineRule="auto"/>
        <w:rPr>
          <w:sz w:val="20"/>
          <w:szCs w:val="20"/>
          <w:color w:val="auto"/>
        </w:rPr>
      </w:pPr>
      <w:r>
        <w:rPr>
          <w:rFonts w:ascii="Times New Roman" w:cs="Times New Roman" w:eastAsia="Times New Roman" w:hAnsi="Times New Roman"/>
          <w:sz w:val="18"/>
          <w:szCs w:val="18"/>
          <w:color w:val="auto"/>
        </w:rPr>
        <w:t>Delaware law requires that a derivative plaintiff make a demand on the directors of the corporation to assert the corporate claim before the lawsuit may be prosecuted,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addressed to the registered office of Alvotech by registered mail.</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one or more shareholders representing at least 10% of the share capital request so in writing, with an indication of the agenda, the convening of a general meeting, the board of directors or the statutory auditor must convene a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Luxembourg law, the board of directors has sole authority to decide whether to initiate legal action to enforce a company’s rights (other than, in certain circumstances, an action against board members).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Shareholders generally do not have the authority to initiate legal action on a company’s behalf unless the company fails abusively to exercise its legal rights. However, a company’s shareholders may vote at a general meeting to initiate legal action against directors on grounds that the directors have failed to perform their duties.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Luxembourg law does not provide for class action lawsuits.</w:t>
      </w:r>
    </w:p>
    <w:p>
      <w:pPr>
        <w:spacing w:after="0" w:line="16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However, it is possible for plaintiffs who have similar but separate claims against the same defendant(s) to bring an action on a “group” basis by way of a joint action. It is also possible to ask the court, under the Luxembourg New Civil Procedure Code, to join claims which are closely related and to rule on them together.</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minority shareholders holding an aggregate of 10% of the voting rights and who voted against the discharge to a director at the annual general meeting of the company can initiate legal action against the director on behalf of the company.</w:t>
      </w:r>
    </w:p>
    <w:p>
      <w:pPr>
        <w:sectPr>
          <w:pgSz w:w="11900" w:h="16838" w:orient="portrait"/>
          <w:cols w:equalWidth="0" w:num="2">
            <w:col w:w="7080" w:space="120"/>
            <w:col w:w="4000"/>
          </w:cols>
          <w:pgMar w:left="320" w:top="117" w:right="3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title of the series of debt securities;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maturity date or dates;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form of the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4" w:lineRule="exact"/>
        <w:rPr>
          <w:rFonts w:ascii="Arial" w:cs="Arial" w:eastAsia="Arial" w:hAnsi="Arial"/>
          <w:sz w:val="18"/>
          <w:szCs w:val="18"/>
          <w:b w:val="1"/>
          <w:bCs w:val="1"/>
          <w:color w:val="auto"/>
        </w:rPr>
      </w:pPr>
    </w:p>
    <w:p>
      <w:pPr>
        <w:ind w:left="980" w:right="140" w:hanging="324"/>
        <w:spacing w:after="0" w:line="281" w:lineRule="auto"/>
        <w:tabs>
          <w:tab w:leader="none" w:pos="98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left="324" w:hanging="324"/>
        <w:spacing w:after="0" w:line="260"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82" w:lineRule="exact"/>
        <w:rPr>
          <w:rFonts w:ascii="Arial" w:cs="Arial" w:eastAsia="Arial" w:hAnsi="Arial"/>
          <w:sz w:val="18"/>
          <w:szCs w:val="18"/>
          <w:b w:val="1"/>
          <w:bCs w:val="1"/>
          <w:color w:val="auto"/>
        </w:rPr>
      </w:pPr>
    </w:p>
    <w:p>
      <w:pPr>
        <w:ind w:left="324" w:right="140" w:hanging="324"/>
        <w:spacing w:after="0" w:line="281"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4" w:lineRule="exact"/>
        <w:rPr>
          <w:rFonts w:ascii="Arial" w:cs="Arial" w:eastAsia="Arial" w:hAnsi="Arial"/>
          <w:sz w:val="18"/>
          <w:szCs w:val="18"/>
          <w:b w:val="1"/>
          <w:bCs w:val="1"/>
          <w:color w:val="auto"/>
        </w:rPr>
      </w:pPr>
    </w:p>
    <w:p>
      <w:pPr>
        <w:ind w:left="324" w:right="420" w:hanging="324"/>
        <w:spacing w:after="0" w:line="265"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77" w:lineRule="exact"/>
        <w:rPr>
          <w:rFonts w:ascii="Arial" w:cs="Arial" w:eastAsia="Arial" w:hAnsi="Arial"/>
          <w:sz w:val="18"/>
          <w:szCs w:val="18"/>
          <w:b w:val="1"/>
          <w:bCs w:val="1"/>
          <w:color w:val="auto"/>
        </w:rPr>
      </w:pPr>
    </w:p>
    <w:p>
      <w:pPr>
        <w:ind w:left="324" w:right="40" w:hanging="324"/>
        <w:spacing w:after="0" w:line="265"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77" w:lineRule="exact"/>
        <w:rPr>
          <w:rFonts w:ascii="Arial" w:cs="Arial" w:eastAsia="Arial" w:hAnsi="Arial"/>
          <w:sz w:val="18"/>
          <w:szCs w:val="18"/>
          <w:b w:val="1"/>
          <w:bCs w:val="1"/>
          <w:color w:val="auto"/>
        </w:rPr>
      </w:pPr>
    </w:p>
    <w:p>
      <w:pPr>
        <w:ind w:left="324" w:hanging="324"/>
        <w:spacing w:after="0"/>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24" w:lineRule="exact"/>
        <w:rPr>
          <w:rFonts w:ascii="Arial" w:cs="Arial" w:eastAsia="Arial" w:hAnsi="Arial"/>
          <w:sz w:val="18"/>
          <w:szCs w:val="18"/>
          <w:b w:val="1"/>
          <w:bCs w:val="1"/>
          <w:color w:val="auto"/>
        </w:rPr>
      </w:pPr>
    </w:p>
    <w:p>
      <w:pPr>
        <w:ind w:left="324" w:right="120" w:hanging="324"/>
        <w:spacing w:after="0" w:line="265"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77" w:lineRule="exact"/>
        <w:rPr>
          <w:rFonts w:ascii="Arial" w:cs="Arial" w:eastAsia="Arial" w:hAnsi="Arial"/>
          <w:sz w:val="18"/>
          <w:szCs w:val="18"/>
          <w:b w:val="1"/>
          <w:bCs w:val="1"/>
          <w:color w:val="auto"/>
        </w:rPr>
      </w:pPr>
    </w:p>
    <w:p>
      <w:pPr>
        <w:ind w:left="324" w:right="140" w:hanging="324"/>
        <w:spacing w:after="0" w:line="265"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7" w:lineRule="exact"/>
        <w:rPr>
          <w:rFonts w:ascii="Arial" w:cs="Arial" w:eastAsia="Arial" w:hAnsi="Arial"/>
          <w:sz w:val="18"/>
          <w:szCs w:val="18"/>
          <w:b w:val="1"/>
          <w:bCs w:val="1"/>
          <w:color w:val="auto"/>
        </w:rPr>
      </w:pPr>
    </w:p>
    <w:p>
      <w:pPr>
        <w:ind w:left="324" w:right="240" w:hanging="324"/>
        <w:spacing w:after="0" w:line="260"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82" w:lineRule="exact"/>
        <w:rPr>
          <w:rFonts w:ascii="Arial" w:cs="Arial" w:eastAsia="Arial" w:hAnsi="Arial"/>
          <w:sz w:val="18"/>
          <w:szCs w:val="18"/>
          <w:b w:val="1"/>
          <w:bCs w:val="1"/>
          <w:color w:val="auto"/>
        </w:rPr>
      </w:pPr>
    </w:p>
    <w:p>
      <w:pPr>
        <w:ind w:left="324" w:right="120" w:hanging="324"/>
        <w:spacing w:after="0" w:line="281"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62" w:lineRule="exact"/>
        <w:rPr>
          <w:rFonts w:ascii="Arial" w:cs="Arial" w:eastAsia="Arial" w:hAnsi="Arial"/>
          <w:sz w:val="18"/>
          <w:szCs w:val="18"/>
          <w:b w:val="1"/>
          <w:bCs w:val="1"/>
          <w:color w:val="auto"/>
        </w:rPr>
      </w:pPr>
    </w:p>
    <w:p>
      <w:pPr>
        <w:ind w:left="324" w:right="200" w:hanging="324"/>
        <w:spacing w:after="0" w:line="281"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62" w:lineRule="exact"/>
        <w:rPr>
          <w:rFonts w:ascii="Arial" w:cs="Arial" w:eastAsia="Arial" w:hAnsi="Arial"/>
          <w:sz w:val="18"/>
          <w:szCs w:val="18"/>
          <w:b w:val="1"/>
          <w:bCs w:val="1"/>
          <w:color w:val="auto"/>
        </w:rPr>
      </w:pPr>
    </w:p>
    <w:p>
      <w:pPr>
        <w:ind w:left="324" w:right="40" w:hanging="324"/>
        <w:spacing w:after="0" w:line="281" w:lineRule="auto"/>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84"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78" w:name="page79"/>
    <w:bookmarkEnd w:id="78"/>
    <w:p>
      <w:pPr>
        <w:ind w:left="980" w:right="360" w:hanging="324"/>
        <w:spacing w:after="0" w:line="281" w:lineRule="auto"/>
        <w:tabs>
          <w:tab w:leader="none" w:pos="98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224" w:lineRule="exact"/>
        <w:rPr>
          <w:rFonts w:ascii="Arial" w:cs="Arial" w:eastAsia="Arial" w:hAnsi="Arial"/>
          <w:sz w:val="18"/>
          <w:szCs w:val="18"/>
          <w:b w:val="1"/>
          <w:bCs w:val="1"/>
          <w:color w:val="auto"/>
        </w:rPr>
      </w:pPr>
    </w:p>
    <w:p>
      <w:pPr>
        <w:ind w:left="980" w:right="40" w:hanging="324"/>
        <w:spacing w:after="0" w:line="281" w:lineRule="auto"/>
        <w:tabs>
          <w:tab w:leader="none" w:pos="98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62" w:lineRule="exact"/>
        <w:rPr>
          <w:rFonts w:ascii="Arial" w:cs="Arial" w:eastAsia="Arial" w:hAnsi="Arial"/>
          <w:sz w:val="18"/>
          <w:szCs w:val="18"/>
          <w:b w:val="1"/>
          <w:bCs w:val="1"/>
          <w:color w:val="auto"/>
        </w:rPr>
      </w:pPr>
    </w:p>
    <w:p>
      <w:pPr>
        <w:ind w:left="980" w:right="140" w:hanging="324"/>
        <w:spacing w:after="0" w:line="281" w:lineRule="auto"/>
        <w:tabs>
          <w:tab w:leader="none" w:pos="98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restrictions on transfer, sale or assignment of the debt securities of the series;</w:t>
      </w:r>
    </w:p>
    <w:p>
      <w:pPr>
        <w:spacing w:after="0" w:line="222" w:lineRule="exact"/>
        <w:rPr>
          <w:rFonts w:ascii="Arial" w:cs="Arial" w:eastAsia="Arial" w:hAnsi="Arial"/>
          <w:sz w:val="18"/>
          <w:szCs w:val="18"/>
          <w:b w:val="1"/>
          <w:bCs w:val="1"/>
          <w:color w:val="auto"/>
        </w:rPr>
      </w:pPr>
    </w:p>
    <w:p>
      <w:pPr>
        <w:ind w:left="980" w:right="180" w:hanging="324"/>
        <w:spacing w:after="0" w:line="283" w:lineRule="auto"/>
        <w:tabs>
          <w:tab w:leader="none" w:pos="98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extent to which the provisions of the Luxembourg Company Law relating to the issuance of debt securities (</w:t>
      </w:r>
      <w:r>
        <w:rPr>
          <w:rFonts w:ascii="Times New Roman" w:cs="Times New Roman" w:eastAsia="Times New Roman" w:hAnsi="Times New Roman"/>
          <w:sz w:val="18"/>
          <w:szCs w:val="18"/>
          <w:i w:val="1"/>
          <w:iCs w:val="1"/>
          <w:color w:val="auto"/>
        </w:rPr>
        <w:t>émission d’obligations</w:t>
      </w:r>
      <w:r>
        <w:rPr>
          <w:rFonts w:ascii="Times New Roman" w:cs="Times New Roman" w:eastAsia="Times New Roman" w:hAnsi="Times New Roman"/>
          <w:sz w:val="18"/>
          <w:szCs w:val="18"/>
          <w:color w:val="auto"/>
        </w:rPr>
        <w:t>) will be applicable to the series of debt securities being offered; and</w:t>
      </w:r>
    </w:p>
    <w:p>
      <w:pPr>
        <w:spacing w:after="0" w:line="160" w:lineRule="exact"/>
        <w:rPr>
          <w:rFonts w:ascii="Arial" w:cs="Arial" w:eastAsia="Arial" w:hAnsi="Arial"/>
          <w:sz w:val="18"/>
          <w:szCs w:val="18"/>
          <w:b w:val="1"/>
          <w:bCs w:val="1"/>
          <w:color w:val="auto"/>
        </w:rPr>
      </w:pPr>
    </w:p>
    <w:p>
      <w:pPr>
        <w:ind w:left="980" w:right="480" w:hanging="324"/>
        <w:spacing w:after="0" w:line="281" w:lineRule="auto"/>
        <w:tabs>
          <w:tab w:leader="none" w:pos="98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2" w:lineRule="exact"/>
        <w:rPr>
          <w:sz w:val="20"/>
          <w:szCs w:val="20"/>
          <w:color w:val="auto"/>
        </w:rPr>
      </w:pPr>
    </w:p>
    <w:p>
      <w:pPr>
        <w:ind w:left="980" w:right="40" w:hanging="324"/>
        <w:spacing w:after="0" w:line="265" w:lineRule="auto"/>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7" w:lineRule="exact"/>
        <w:rPr>
          <w:rFonts w:ascii="Arial" w:cs="Arial" w:eastAsia="Arial" w:hAnsi="Arial"/>
          <w:sz w:val="18"/>
          <w:szCs w:val="18"/>
          <w:b w:val="1"/>
          <w:bCs w:val="1"/>
          <w:color w:val="auto"/>
        </w:rPr>
      </w:pPr>
    </w:p>
    <w:p>
      <w:pPr>
        <w:ind w:left="980" w:right="160" w:hanging="324"/>
        <w:spacing w:after="0" w:line="260" w:lineRule="auto"/>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980" w:right="240" w:hanging="324"/>
        <w:spacing w:after="0" w:line="260" w:lineRule="auto"/>
        <w:tabs>
          <w:tab w:leader="none" w:pos="98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2" w:lineRule="exact"/>
        <w:rPr>
          <w:rFonts w:ascii="Arial" w:cs="Arial" w:eastAsia="Arial" w:hAnsi="Arial"/>
          <w:sz w:val="18"/>
          <w:szCs w:val="18"/>
          <w:b w:val="1"/>
          <w:bCs w:val="1"/>
          <w:color w:val="auto"/>
        </w:rPr>
      </w:pPr>
    </w:p>
    <w:p>
      <w:pPr>
        <w:ind w:left="980" w:hanging="324"/>
        <w:spacing w:after="0"/>
        <w:tabs>
          <w:tab w:leader="none" w:pos="98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4" w:lineRule="exact"/>
        <w:rPr>
          <w:rFonts w:ascii="Arial" w:cs="Arial" w:eastAsia="Arial" w:hAnsi="Arial"/>
          <w:sz w:val="18"/>
          <w:szCs w:val="18"/>
          <w:b w:val="1"/>
          <w:bCs w:val="1"/>
          <w:color w:val="auto"/>
        </w:rPr>
      </w:pPr>
    </w:p>
    <w:p>
      <w:pPr>
        <w:ind w:left="980" w:right="240" w:hanging="324"/>
        <w:spacing w:after="0" w:line="281" w:lineRule="auto"/>
        <w:tabs>
          <w:tab w:leader="none" w:pos="98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24" w:lineRule="exact"/>
        <w:rPr>
          <w:rFonts w:ascii="Arial" w:cs="Arial" w:eastAsia="Arial" w:hAnsi="Arial"/>
          <w:sz w:val="18"/>
          <w:szCs w:val="18"/>
          <w:b w:val="1"/>
          <w:bCs w:val="1"/>
          <w:color w:val="auto"/>
        </w:rPr>
      </w:pPr>
    </w:p>
    <w:p>
      <w:pPr>
        <w:ind w:left="980" w:right="220" w:hanging="324"/>
        <w:spacing w:after="0" w:line="281" w:lineRule="auto"/>
        <w:tabs>
          <w:tab w:leader="none" w:pos="98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2" w:lineRule="exact"/>
        <w:rPr>
          <w:rFonts w:ascii="Arial" w:cs="Arial" w:eastAsia="Arial" w:hAnsi="Arial"/>
          <w:sz w:val="18"/>
          <w:szCs w:val="18"/>
          <w:b w:val="1"/>
          <w:bCs w:val="1"/>
          <w:color w:val="auto"/>
        </w:rPr>
      </w:pPr>
    </w:p>
    <w:p>
      <w:pPr>
        <w:ind w:left="980" w:right="700" w:hanging="324"/>
        <w:spacing w:after="0" w:line="281" w:lineRule="auto"/>
        <w:tabs>
          <w:tab w:leader="none" w:pos="98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222"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226"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4" w:lineRule="exact"/>
        <w:rPr>
          <w:rFonts w:ascii="Arial" w:cs="Arial" w:eastAsia="Arial" w:hAnsi="Arial"/>
          <w:sz w:val="18"/>
          <w:szCs w:val="18"/>
          <w:b w:val="1"/>
          <w:bCs w:val="1"/>
          <w:color w:val="auto"/>
        </w:rPr>
      </w:pPr>
    </w:p>
    <w:p>
      <w:pPr>
        <w:ind w:left="980" w:right="140" w:hanging="324"/>
        <w:spacing w:after="0" w:line="260" w:lineRule="auto"/>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82" w:lineRule="exact"/>
        <w:rPr>
          <w:rFonts w:ascii="Arial" w:cs="Arial" w:eastAsia="Arial" w:hAnsi="Arial"/>
          <w:sz w:val="18"/>
          <w:szCs w:val="18"/>
          <w:b w:val="1"/>
          <w:bCs w:val="1"/>
          <w:color w:val="auto"/>
        </w:rPr>
      </w:pPr>
    </w:p>
    <w:p>
      <w:pPr>
        <w:ind w:left="980" w:right="1000" w:hanging="324"/>
        <w:spacing w:after="0" w:line="281" w:lineRule="auto"/>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24" w:lineRule="exact"/>
        <w:rPr>
          <w:rFonts w:ascii="Arial" w:cs="Arial" w:eastAsia="Arial" w:hAnsi="Arial"/>
          <w:sz w:val="18"/>
          <w:szCs w:val="18"/>
          <w:b w:val="1"/>
          <w:bCs w:val="1"/>
          <w:color w:val="auto"/>
        </w:rPr>
      </w:pPr>
    </w:p>
    <w:p>
      <w:pPr>
        <w:jc w:val="both"/>
        <w:ind w:left="980" w:right="360" w:hanging="324"/>
        <w:spacing w:after="0" w:line="265" w:lineRule="auto"/>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177"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24" w:lineRule="exact"/>
        <w:rPr>
          <w:rFonts w:ascii="Arial" w:cs="Arial" w:eastAsia="Arial" w:hAnsi="Arial"/>
          <w:sz w:val="18"/>
          <w:szCs w:val="18"/>
          <w:b w:val="1"/>
          <w:bCs w:val="1"/>
          <w:color w:val="auto"/>
        </w:rPr>
      </w:pPr>
    </w:p>
    <w:p>
      <w:pPr>
        <w:ind w:left="980" w:right="200" w:hanging="324"/>
        <w:spacing w:after="0" w:line="281" w:lineRule="auto"/>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2" w:lineRule="exact"/>
        <w:rPr>
          <w:rFonts w:ascii="Arial" w:cs="Arial" w:eastAsia="Arial" w:hAnsi="Arial"/>
          <w:sz w:val="18"/>
          <w:szCs w:val="18"/>
          <w:b w:val="1"/>
          <w:bCs w:val="1"/>
          <w:color w:val="auto"/>
        </w:rPr>
      </w:pPr>
    </w:p>
    <w:p>
      <w:pPr>
        <w:ind w:left="980" w:right="520" w:hanging="324"/>
        <w:spacing w:after="0" w:line="281" w:lineRule="auto"/>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62"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for payment;</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maintain paying agencies;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hold monies for payment in trust;</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recover excess money held by the trustee;</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compensate and indemnify the trustee; and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 any successor trustee.</w:t>
      </w:r>
    </w:p>
    <w:p>
      <w:pPr>
        <w:spacing w:after="0" w:line="2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980" w:right="480" w:hanging="324"/>
        <w:spacing w:after="0" w:line="265" w:lineRule="auto"/>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7" w:lineRule="exact"/>
        <w:rPr>
          <w:rFonts w:ascii="Arial" w:cs="Arial" w:eastAsia="Arial" w:hAnsi="Arial"/>
          <w:sz w:val="18"/>
          <w:szCs w:val="18"/>
          <w:b w:val="1"/>
          <w:bCs w:val="1"/>
          <w:color w:val="auto"/>
        </w:rPr>
      </w:pPr>
    </w:p>
    <w:p>
      <w:pPr>
        <w:ind w:left="980" w:right="180" w:hanging="324"/>
        <w:spacing w:after="0" w:line="281" w:lineRule="auto"/>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 that we may authorize to be distributed to you, summarizes the material terms and provisions of the warrants that we may offer under this prospectus, which may consist of warrants to purchase ordinary shares. We may issue warrants independently or together with any other securities offered by any prospectus supplement and the warrants may be attached to or separate from those securities.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We will evidence each series of warrants by warrant certificates that we may issue under a separate agreement. Any series of warrants may be issued under a separate warrant agreement, which may be entered into between us and a warrant agent specified in a prospectus supplement relating to a particular series of warrants. Any such warrant agent will act solely as our agent in connection with the warrants of such series and will not assume any obligation or relationship of agency or trust with any of the holders of the warrants. In the applicable prospectus supplement, we will describe the terms of the series of warrants being offered, including:</w:t>
      </w:r>
    </w:p>
    <w:p>
      <w:pPr>
        <w:spacing w:after="0" w:line="19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title of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aggregate number of the warrants offered;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ordinary shares purchasable upon exercise of the warrants;</w:t>
      </w:r>
    </w:p>
    <w:p>
      <w:pPr>
        <w:spacing w:after="0" w:line="224" w:lineRule="exact"/>
        <w:rPr>
          <w:rFonts w:ascii="Arial" w:cs="Arial" w:eastAsia="Arial" w:hAnsi="Arial"/>
          <w:sz w:val="18"/>
          <w:szCs w:val="18"/>
          <w:b w:val="1"/>
          <w:bCs w:val="1"/>
          <w:color w:val="auto"/>
        </w:rPr>
      </w:pPr>
    </w:p>
    <w:p>
      <w:pPr>
        <w:ind w:left="660" w:right="540" w:hanging="328"/>
        <w:spacing w:after="0" w:line="281" w:lineRule="auto"/>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designation and terms of the securities, if any, with which the warrants are issued, and the number of the warrants issued with each such offered security;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if any, on and after which the warrants and the related securities will be separately transferable;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any rights to redeem or call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any rights to force the exercise of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price at which, and form of consideration for which, each security purchasable upon exercise of the warrants may be purchased;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information with respect to book-entry procedures, if any;</w:t>
      </w:r>
    </w:p>
    <w:p>
      <w:pPr>
        <w:spacing w:after="0" w:line="224" w:lineRule="exact"/>
        <w:rPr>
          <w:rFonts w:ascii="Arial" w:cs="Arial" w:eastAsia="Arial" w:hAnsi="Arial"/>
          <w:sz w:val="18"/>
          <w:szCs w:val="18"/>
          <w:b w:val="1"/>
          <w:bCs w:val="1"/>
          <w:color w:val="auto"/>
        </w:rPr>
      </w:pPr>
    </w:p>
    <w:p>
      <w:pPr>
        <w:jc w:val="center"/>
        <w:ind w:left="5560" w:right="60" w:hanging="5228"/>
        <w:spacing w:after="0" w:line="484" w:lineRule="auto"/>
        <w:tabs>
          <w:tab w:leader="none" w:pos="653"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a discussion of the material Luxembourg and U.S. income tax considerations applicable to the issuance or exercise of such warrants;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circumstances that will cause the warrants to be deemed to be automatically exercised;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material terms of the warrants.</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on such exercise, including, in the case or warrants to purchase ordinary shares, the right to receive dividends, if any, or, payments upon our liquidation, dissolution or winding up or to exercise voting rights, if any.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reserve the right to set forth in a prospectus supplement or applicable free writing prospectus specific terms of the warrants that are not within the options and parameters set forth in this prospectus. In addition, to the extent that any particular terms and conditions of the warrants described in a prospectus supplement or applicable free writing prospectus differ from any of the terms described in this prospectus, the description of such terms and conditions set forth in this prospectus shall be deemed to have been superseded or supplemented by the description of such differing terms and conditions set forth in such prospectus supplement or applicable free writing prospectus with respect to such warrants.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issue rights to purchase any of our securities or any combination thereof. Rights may be issued independently or together with any other offered security and may or may not be transferable by the person purchasing or receiving the rights. The rights may be issued independently or together with any other security offered hereby and may or may not be transferable by the shareholder receiving the subscription rights in such offering.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rights that we offer will include specific terms of any offering of rights for which this prospectus is being delivered, including the following, to the extent applicable:</w:t>
      </w:r>
    </w:p>
    <w:p>
      <w:pPr>
        <w:spacing w:after="0" w:line="16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for determining the persons entitled to participate in the rights distribution;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price, if any, per right;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price payable upon the exercise of the rights;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rights issued or to be issued to each holder;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and terms of the securities that may be purchased per each right;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extent to which the rights are transferable;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respective dates on which the holder’s ability to exercise the rights will commence and will expire;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rights outstanding, if any;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discussion of any material Luxembourg or U.S. federal income tax considerations applicable to the rights;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224" w:lineRule="exact"/>
        <w:rPr>
          <w:rFonts w:ascii="Arial" w:cs="Arial" w:eastAsia="Arial" w:hAnsi="Arial"/>
          <w:sz w:val="18"/>
          <w:szCs w:val="18"/>
          <w:b w:val="1"/>
          <w:bCs w:val="1"/>
          <w:color w:val="auto"/>
        </w:rPr>
      </w:pPr>
    </w:p>
    <w:p>
      <w:pPr>
        <w:ind w:left="660" w:right="220" w:hanging="328"/>
        <w:spacing w:after="0" w:line="281" w:lineRule="auto"/>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such rights.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rights that we may offer will not necessarily be complete and will be qualified in its entirety by reference to the applicable rights agreement and/or rights certificate, which will be filed with the SEC in connection therewith.</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our ordinary shares, debt securities, rights, warrants or any combination of such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will describe:</w:t>
      </w:r>
    </w:p>
    <w:p>
      <w:pPr>
        <w:spacing w:after="0" w:line="183" w:lineRule="exact"/>
        <w:rPr>
          <w:sz w:val="20"/>
          <w:szCs w:val="20"/>
          <w:color w:val="auto"/>
        </w:rPr>
      </w:pPr>
    </w:p>
    <w:p>
      <w:pPr>
        <w:ind w:left="660" w:right="300" w:hanging="328"/>
        <w:spacing w:after="0" w:line="281" w:lineRule="auto"/>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the units and of the ordinary shares, debt securities, rights and/or warrants comprising the units, including whether and under what circumstances the securities comprising the units may be traded separately;</w:t>
      </w:r>
    </w:p>
    <w:p>
      <w:pPr>
        <w:spacing w:after="0" w:line="162" w:lineRule="exact"/>
        <w:rPr>
          <w:rFonts w:ascii="Arial" w:cs="Arial" w:eastAsia="Arial" w:hAnsi="Arial"/>
          <w:sz w:val="18"/>
          <w:szCs w:val="18"/>
          <w:b w:val="1"/>
          <w:bCs w:val="1"/>
          <w:color w:val="auto"/>
        </w:rPr>
      </w:pPr>
    </w:p>
    <w:p>
      <w:pPr>
        <w:ind w:left="660" w:right="500" w:hanging="328"/>
        <w:spacing w:after="0" w:line="281" w:lineRule="auto"/>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any unit agreement governing the units or any arrangement with an agent that may act on our behalf in connection with the unit offering;</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provisions for the payment, settlement, transfer or exchange of the units;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units we offer will not necessarily be complete and will be qualified in its entirety by reference to the applicable units agreement, which will be filed with the SEC if we offer units. For more information on how you can obtain copies of the applicable units agreement if we offer units,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material Luxembourg and U.S. federal income tax consequences relating to the purchase, ownership and disposition of any of the securities offered by this prospectus will be set forth in the prospectus supplement pertaining to those securities.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also sell the securities directly to corporate partners in various programs of the Company, institutional investors or other purchasers or through agents. We will identify any underwriter, dealer, or agent involved in the offer and sale of the securities, and any applicable commissions, discounts and other terms constituting compensation to such underwriters, dealers or agents, in a prospectus supplement.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distribute securities from time to time in one or more transactions:</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a fixed price or prices, which may be changed;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market prices prevailing at the time of sale;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prices related to such prevailing market prices; or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negotiated prices.</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securities exchange or quotation or trading service on which such securities are then listed, quoted or traded at the time of sale. Such at the market offerings, if any, may be conducted by underwriters acting as principal or agent.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name or names of any underwriters, dealers or agents, if any;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public offering price;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of our securities, such securities will be acquired by the underwriters for their own account and may be resold from time to time in one or more transactions, including negotiated transactions, at a fixed public offering price or at varying prices determined at the time of sale. Unless stated otherwise in a prospectus supplement, the obligation of any underwriters to purchase our securities will be subject to certain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or our agents may solicit offers to purchase securities from time to time. Unless stated otherwise in a prospectus supplement, any agent will be acting on a best efforts basis for the period of its appointment. In connection with the sale of our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from the underwriters and/or commissions from the purchasers for whom they may act as agents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 Certain of the underwriters or agents and their associates may engage in transactions with and perform services for us or our affiliates in the ordinary course of their respective businesses.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SEC registration fee and the FINRA filing fee, the following are the estimated expenses related to the filing of the registration statement of which this prospectus forms a part, all of which will be paid by us. In addition, we anticipate incurring additional expenses in the future in connection with the offering of our securities pursuant to this prospectus. Any such additional expenses will be disclosed in a prospectus supplement.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U.S.</w:t>
            </w:r>
          </w:p>
        </w:tc>
      </w:tr>
      <w:tr>
        <w:trPr>
          <w:trHeight w:val="173"/>
        </w:trPr>
        <w:tc>
          <w:tcPr>
            <w:tcW w:w="58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w:t>
            </w:r>
          </w:p>
        </w:tc>
      </w:tr>
      <w:tr>
        <w:trPr>
          <w:trHeight w:val="210"/>
        </w:trPr>
        <w:tc>
          <w:tcPr>
            <w:tcW w:w="58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100" w:type="dxa"/>
            <w:vAlign w:val="bottom"/>
            <w:tcBorders>
              <w:top w:val="single" w:sz="8" w:color="E5FFFF"/>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20" w:type="dxa"/>
            <w:vAlign w:val="bottom"/>
            <w:tcBorders>
              <w:top w:val="single" w:sz="8" w:color="E5FFFF"/>
            </w:tcBorders>
            <w:shd w:val="clear" w:color="auto" w:fill="E5FF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1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41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4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bl>
    <w:p>
      <w:pPr>
        <w:ind w:right="200" w:firstLine="8"/>
        <w:spacing w:after="0" w:line="260" w:lineRule="auto"/>
        <w:tabs>
          <w:tab w:leader="none" w:pos="4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depend on the securities offered and the number of issuances, and accordingly cannot be estimated at this time and will be reflected in the applicable prospectus supplement</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CIVIL LIABILITIES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SECURITIES LAWS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Alvotech is incorporated in Luxembourg and conducts a majority of its operations through its subsidiary, Alvotech hf., located outside the United States. In addition, some of the members of our board of directors and officers reside outside the United States and a substantial portion of our assets are located in Iceland and elsewhere outside the U.S. Investors may not be able to effect service of process within the United States upon us or these persons or enforce judgments obtained against us or these persons in U.S. courts, including judgments in actions predicated upon the civil liability provisions of the U.S. federal securities laws. Likewise, it also may be difficult for an investor to enforce in U.S. courts judgments obtained against us or these persons in courts located in jurisdictions outside the United States, including judgments predicated upon the civil liability provisions of the U.S. federal securities laws. Awards of punitive damages in actions brought in the United States or elsewhere are generally not enforceable in Luxembourg and Iceland.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there is no treaty in force on the reciprocal recognition and enforcement of judgments in civil and commercial matters between the United States and Luxembourg other than arbitral awards rendered in civil and commercial matters, courts in Luxembourg will not automatically recognize and enforce a final judgment rendered by a U.S. court. A valid judgment obtained from a court of competent jurisdiction in the United States may be entered and enforced through a court of competent jurisdiction in Luxembourg, subject to the applicable enforcement procedures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as set out in the relevant provisions of the Luxembourg New Civil Procedure Code and in Luxembourg case law. Pursuant to Luxembourg case law, the granting of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is subject to the following requirements:</w:t>
      </w:r>
    </w:p>
    <w:p>
      <w:pPr>
        <w:spacing w:after="0" w:line="185" w:lineRule="exact"/>
        <w:rPr>
          <w:sz w:val="20"/>
          <w:szCs w:val="20"/>
          <w:color w:val="auto"/>
        </w:rPr>
      </w:pPr>
    </w:p>
    <w:p>
      <w:pPr>
        <w:ind w:left="980" w:right="20" w:hanging="324"/>
        <w:spacing w:after="0" w:line="283" w:lineRule="auto"/>
        <w:tabs>
          <w:tab w:leader="none" w:pos="98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is final and enforceable (</w:t>
      </w:r>
      <w:r>
        <w:rPr>
          <w:rFonts w:ascii="Times New Roman" w:cs="Times New Roman" w:eastAsia="Times New Roman" w:hAnsi="Times New Roman"/>
          <w:sz w:val="18"/>
          <w:szCs w:val="18"/>
          <w:i w:val="1"/>
          <w:iCs w:val="1"/>
          <w:color w:val="auto"/>
        </w:rPr>
        <w:t>exécutoire</w:t>
      </w:r>
      <w:r>
        <w:rPr>
          <w:rFonts w:ascii="Times New Roman" w:cs="Times New Roman" w:eastAsia="Times New Roman" w:hAnsi="Times New Roman"/>
          <w:sz w:val="18"/>
          <w:szCs w:val="18"/>
          <w:color w:val="auto"/>
        </w:rPr>
        <w:t>) in the United States and has not been fully enforced in the United States and/or in any other jurisdiction;</w:t>
      </w:r>
    </w:p>
    <w:p>
      <w:pPr>
        <w:spacing w:after="0" w:line="160"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had full jurisdiction over the subject matter leading to the judgment (that is, its jurisdiction was in compliance both with Luxembourg private international law rules and with the applicable domestic U.S. federal or state jurisdictional rules);</w:t>
      </w:r>
    </w:p>
    <w:p>
      <w:pPr>
        <w:spacing w:after="0" w:line="162"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applied to the dispute the substantive law which is designated by the Luxembourg conflict of laws rules or, at least, such court’s order must not contravene the principles underlying those rules (based on recent case law and legal doctrine, it is not certain that this condition would still be required for an exequatur to be granted by a Luxembourg court);</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was granted following proceedings where the counterparty had the opportunity to appear and, if it appeared, to present a defense, and the decision of the foreign court must not have been obtained by fraud, but in compliance with the rights of the defendant;</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acted in accordance with its own procedural laws;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does not contradict an already issued judgment of a Luxembourg court, and</w:t>
      </w:r>
    </w:p>
    <w:p>
      <w:pPr>
        <w:spacing w:after="0" w:line="224" w:lineRule="exact"/>
        <w:rPr>
          <w:rFonts w:ascii="Arial" w:cs="Arial" w:eastAsia="Arial" w:hAnsi="Arial"/>
          <w:sz w:val="18"/>
          <w:szCs w:val="18"/>
          <w:b w:val="1"/>
          <w:bCs w:val="1"/>
          <w:color w:val="auto"/>
        </w:rPr>
      </w:pPr>
    </w:p>
    <w:p>
      <w:pPr>
        <w:jc w:val="both"/>
        <w:ind w:left="980" w:hanging="324"/>
        <w:spacing w:after="0" w:line="256" w:lineRule="auto"/>
        <w:tabs>
          <w:tab w:leader="none" w:pos="980" w:val="left"/>
        </w:tabs>
        <w:numPr>
          <w:ilvl w:val="0"/>
          <w:numId w:val="5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decisions and the considerations of the U.S. court must not be contrary to Luxembourg international public policy rules (as such term is interpreted under the laws of Luxembourg) or have been given in proceedings of a tax or criminal nature or rendered subsequent to an evasion of Luxembourg law (</w:t>
      </w:r>
      <w:r>
        <w:rPr>
          <w:rFonts w:ascii="Times New Roman" w:cs="Times New Roman" w:eastAsia="Times New Roman" w:hAnsi="Times New Roman"/>
          <w:sz w:val="18"/>
          <w:szCs w:val="18"/>
          <w:i w:val="1"/>
          <w:iCs w:val="1"/>
          <w:color w:val="auto"/>
        </w:rPr>
        <w:t>fraude à la loi</w:t>
      </w:r>
      <w:r>
        <w:rPr>
          <w:rFonts w:ascii="Times New Roman" w:cs="Times New Roman" w:eastAsia="Times New Roman" w:hAnsi="Times New Roman"/>
          <w:sz w:val="18"/>
          <w:szCs w:val="18"/>
          <w:color w:val="auto"/>
        </w:rPr>
        <w:t>). Awards of damages made under civil liabilities provisions of the U.S. federal securities laws, or other laws, which are classified by Luxembourg courts as being of a penal or punitive nature (for example, fines or punitive damages), might not be recognized by Luxembourg courts. Ordinarily, an award of monetary damages would not be considered as a penalty, but if the monetary damages include punitive damages, such punitive damages may be considered a penalty and therefore not enforceable in Luxembourg.</w:t>
      </w:r>
    </w:p>
    <w:p>
      <w:pPr>
        <w:spacing w:after="0" w:line="1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Similarly, as Alvotech hf., a subsidiary of Alvotech, has significant assets in Iceland, investors may seek to enforce judgments obtained in the United States against Alvotech in Iceland. As there is no treaty in force on the reciprocal</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recognition and enforcement of judgments in civil and commercial matters between the United States and Iceland other than arbitral awards entered in civil and commercial matters, courts in Iceland will not automatically recognize and enforce a final judgment rendered by a U.S. court. Based on recent Icelandic case law, a valid judgment obtained from a court of competent jurisdiction in the United States will not be directly recognized and enforceable in Iceland. Instead, the judgment creditor would need to issue fresh legal proceedings against the judgment debtor in Iceland in which the U.S. judgment would serve as evidence, in addition to other evidence and legal arguments regarding the merits of the case, which will be adjudicated by the Icelandic courts.</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an original action is brought in Luxembourg or Iceland, without prejudice to specific conflict of law rules, Luxembourg courts or Icelandic courts may refuse to apply the designated law (i) if the choice of such foreign law was not made bona fide or (ii) if the foreign law was not pleaded and proved or</w:t>
      </w:r>
    </w:p>
    <w:p>
      <w:pPr>
        <w:jc w:val="both"/>
        <w:ind w:firstLine="8"/>
        <w:spacing w:after="0" w:line="255" w:lineRule="auto"/>
        <w:tabs>
          <w:tab w:leader="none" w:pos="3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pleaded and proved, such foreign law is contrary to mandatory Luxembourg or Icelandic laws or incompatible with Luxembourg or Icelandic public policy rules. In an action brought in Luxembourg or Iceland on the basis of U.S. federal or state securities laws, Luxembourg courts or Icelandic courts may not have the requisite power to grant the remedies sought. Also, an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may be refused by a Luxembourg court in respect of punitive damages.</w:t>
      </w:r>
    </w:p>
    <w:p>
      <w:pPr>
        <w:spacing w:after="0" w:line="18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practice, Luxembourg courts tend not to review the merits of a foreign judgment, although there is no clear statutory prohibition of such review. A contractual provision allowing the service of process against a party to a service agent could be overridden by Luxembourg or Icelandic statutory provisions allowing the valid serving of process against a party in accordance with applicable laws at the domicile of the party. Further, in the event any proceedings are brought in a Luxembourg court in respect of a monetary obligation payable in a currency other than the Euro, a Luxembourg court would have the power to give judgment as an order to pay the obligation in a currency other than the Euro. However, enforcement of the judgment against any party in Luxembourg would be available only in Euros and, for such purposes, all claims or debts would be converted into Euros. Similarly, in the event any proceedings are brought in an Icelandic court in respect of a monetary obligation payable in a currency other than the Icelandic Krona, an Icelandic court would have the power to give judgment as an order to pay the obligation in a currency other than the Icelandic Krona.</w:t>
      </w:r>
    </w:p>
    <w:p>
      <w:pPr>
        <w:spacing w:after="0" w:line="19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addition, actions brought in a Luxembourg court against Alvotech, the members of our board of directors, our officers, or the experts named herein to enforce liabilities based on U.S. federal securities laws may be subject to certain restrictions. In particular, Luxembourg courts generally do not award punitive damages. Litigation in Luxembourg also is subject to rules of procedure that differ from the U.S. rules, including, with respect to the taking and admissibility of evidence, the conduct of the proceedings and the allocation of costs. Proceedings in Luxembourg would have to be conducted in the French or German language, and all documents submitted to the court would, in principle, have to be translated into French or German. For these reasons, it may be difficult for a U.S. investor to bring an original action in a Luxembourg court predicated upon the civil liability provisions of the U.S. federal securities laws against Alvotech, the members of our board of directors, our officers, or the experts named herein. In addition, even if a judgment against Alvotech, the non-U.S. members of our board of directors, our officers, or the experts named in this Annual Report on Form 20-F based on the civil liability provisions of the U.S. federal securities laws is obtained, a U.S. investor may not be able to enforce it in United States or Luxembourg courts.</w:t>
      </w:r>
    </w:p>
    <w:p>
      <w:pPr>
        <w:spacing w:after="0" w:line="18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directors and officers have entered into, or will enter into, indemnification agreements with Alvotech. Under such agreements, the directors and officers will be entitled to indemnification from Alvotech to the fullest extent permitted by Luxemburg law against liability and expenses reasonably incurred or paid by him or her in connection with any claim, action, suit, or proceeding in which he or she would be involved by virtue of his or her being or having been a director or officer and against amounts paid or incurred by him or her in the settlement thereof. Luxembourg law permits us to keep directors indemnified against any expenses, judgments, fines and amounts paid in connection with liability of a director towards Alvotech or a third-party for management errors i.e., for wrongful acts committed during the execution of the mandate (</w:t>
      </w:r>
      <w:r>
        <w:rPr>
          <w:rFonts w:ascii="Times New Roman" w:cs="Times New Roman" w:eastAsia="Times New Roman" w:hAnsi="Times New Roman"/>
          <w:sz w:val="18"/>
          <w:szCs w:val="18"/>
          <w:i w:val="1"/>
          <w:iCs w:val="1"/>
          <w:color w:val="auto"/>
        </w:rPr>
        <w:t>mandat</w:t>
      </w:r>
      <w:r>
        <w:rPr>
          <w:rFonts w:ascii="Times New Roman" w:cs="Times New Roman" w:eastAsia="Times New Roman" w:hAnsi="Times New Roman"/>
          <w:sz w:val="18"/>
          <w:szCs w:val="18"/>
          <w:color w:val="auto"/>
        </w:rPr>
        <w:t>) granted to the director by Alvotech, except in connection with criminal offenses, gross negligence or fraud. The rights to and obligations of indemnification among or between Alvotech and any of our current or former directors and officers are generally governed by the laws of Luxembourg and subject to the jurisdiction of the Luxembourg courts, unless such rights or obligations do not relate to or arise out of such persons’ capacities listed above. Although there is doubt as to whether U.S. courts would enforce this indemnification provision in an action brought in the United States under U.S. federal or state securities laws, this provision could make it more difficult to obtain judgments outside Luxembourg or from non-Luxembourg jurisdictions that would apply Luxembourg law against our assets in Luxembourg.</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Alvotech USA Inc., 1201 Wilson Blvd., Ste. 2130, Arlington, Virginia 22209.</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Unless the applicable prospectus supplement indicates otherwise, the validity of our ordinary shares and certain other matters governed by Luxembourg law will be passed on for us by Arendt &amp; Medernach S.A, Luxembourg counsel to Alvotech. Unless otherwise indicated in any prospectus supplement, Cooley LLP, New York, New York, will be representing us in regards to certain matters governed by U.S. law in connection with any offering. Additional legal matters may be passed upon for any underwriters, dealers or agents by counsel that we will name in the applicable prospectus supplement.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Alvotech incorporated by reference in this prospectus, have been audited by Deloitte ehf. an independent registered public accounting firm, as stated in their report. Such financial statements are incorporated by reference in reliance upon the report of such firm, given their authority as experts in accounting and auditing. The offices of Deloitte ehf. are located at Dalvegur 30, 201 Kópavogi, Iceland.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we filed with the SEC. This prospectus does not contain all of the information set forth in the registration statement or the exhibits and schedules filed therewith. For further information with respect to us and our securities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We will make available on our website,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auto"/>
        </w:rPr>
        <w:t>Form 20-F</w:t>
      </w:r>
      <w:r>
        <w:rPr>
          <w:rFonts w:ascii="Times New Roman" w:cs="Times New Roman" w:eastAsia="Times New Roman" w:hAnsi="Times New Roman"/>
          <w:sz w:val="18"/>
          <w:szCs w:val="18"/>
          <w:color w:val="auto"/>
        </w:rPr>
        <w:t xml:space="preserve"> for the year ended December 31, 2022, filed with the SEC on March 1, 2023;</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description of our ordinary shares in our Registration Statement on </w:t>
      </w:r>
      <w:r>
        <w:rPr>
          <w:rFonts w:ascii="Times New Roman" w:cs="Times New Roman" w:eastAsia="Times New Roman" w:hAnsi="Times New Roman"/>
          <w:sz w:val="18"/>
          <w:szCs w:val="18"/>
          <w:u w:val="single" w:color="auto"/>
          <w:color w:val="auto"/>
        </w:rPr>
        <w:t>Form 8-A</w:t>
      </w:r>
      <w:r>
        <w:rPr>
          <w:rFonts w:ascii="Times New Roman" w:cs="Times New Roman" w:eastAsia="Times New Roman" w:hAnsi="Times New Roman"/>
          <w:sz w:val="18"/>
          <w:szCs w:val="18"/>
          <w:color w:val="auto"/>
        </w:rPr>
        <w:t xml:space="preserve"> filed with the SEC on June 13, 2022, which incorporates by reference the description of our ordinary shares from our Registration Statement on Form F-4 (File No. 333-261773), and any amendment or report filed for the purpose of updating such description; and</w:t>
      </w:r>
    </w:p>
    <w:p>
      <w:pPr>
        <w:spacing w:after="0" w:line="177" w:lineRule="exact"/>
        <w:rPr>
          <w:rFonts w:ascii="Arial" w:cs="Arial" w:eastAsia="Arial" w:hAnsi="Arial"/>
          <w:sz w:val="18"/>
          <w:szCs w:val="18"/>
          <w:b w:val="1"/>
          <w:bCs w:val="1"/>
          <w:color w:val="auto"/>
        </w:rPr>
      </w:pPr>
    </w:p>
    <w:p>
      <w:pPr>
        <w:ind w:left="660" w:right="60" w:hanging="328"/>
        <w:spacing w:after="0" w:line="255" w:lineRule="auto"/>
        <w:tabs>
          <w:tab w:leader="none" w:pos="660" w:val="left"/>
        </w:tabs>
        <w:numPr>
          <w:ilvl w:val="0"/>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report on Form 6-K dated April 14, 2023, excluding exhibit 99.1 thereto; our report on Form 6-K dated April 17, 2023; our report on Form 6-K dated May 24, 2023, excluding exhibit 99.1 thereto; our report on Form 6-K dated June 6, 2023, excluding Exhibits 99.1, 99.2 and 99.4 thereto; our report on Form 6-K dated June 29, 2023, excluding Exhibit 99.1 thereto; Exhibits 99.1, 99.2, 99.3 and 99.4 of our report on Form 6-K dated July 12, 2023; our report on Form 6-K dated July 24, 2023, excluding Exhibits 99.1, 99.2 and 5.1 and 23.2 thereto; our report on Form 6-K dated July 31, 2023, excluding Exhibit 99.1 thereto; our report on Form 6-K dated August 31, 2023, excluding Exhibit 99.8 thereto; our report on Form 6-K dated September 5, 2023, excluding Exhibit 99.1 thereto; our report on Form 6-K/A dated September 7, 2023; our report on Form 6-K dated September 21, 2023, excluding Exhibit 99.1 thereto; our report on Form 6-K dated October 3, 2023,</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excluding Exhibit 99.1 thereto; and our report on Form 6-K dated October 12, 2023, excluding Exhibit 99.1 thereto.</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filed by us. We may also incorporate by reference part or all of certain reports on Form 6-K that we furnish to the SEC after the date of this prospectus by specifically identifying in such reports on Form 6-K that they, or certain parts of their contents, are being incorporated by reference into this prospectus prior to the termination of the offering of securities under this Registration Statement. Reports on Form 6-K that we furnish to the SEC after the date of this prospectus, or certain parts of their contents, that we do not explicitly identify in such reports on Form 6-K as incorporated by reference into this prospectus, shall not be deemed incorporated by reference into this prospectus. In all cases, you should rely on the later information over different information included in this prospectus or any accompanying prospectus supplement.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Alvotech</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 Rue de Bitbourg,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L-1273 Luxembourg,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Duchy of Luxembourg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+354 422 4500</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addition, copies of the documents incorporated herein by reference may be accessed at our website at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The reference to our website address does not constitute incorporation by reference of the information contained on or accessible through our website, and you should not consider the contents of our website in making an investment decision with respect to our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applicable prospectus supplement. We have not authorized anyone to provide you with information different from that contained in this prospectus or incorporated by reference in this prospectus. We will not make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2856865</wp:posOffset>
            </wp:positionH>
            <wp:positionV relativeFrom="page">
              <wp:posOffset>320040</wp:posOffset>
            </wp:positionV>
            <wp:extent cx="1834515"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834515" cy="34290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22,666,667 Ordinary Shares</w:t>
      </w: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4140" w:val="left"/>
          <w:tab w:leader="none" w:pos="766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Jefferies</w:t>
      </w:r>
      <w:r>
        <w:rPr>
          <w:sz w:val="20"/>
          <w:szCs w:val="20"/>
          <w:color w:val="auto"/>
        </w:rPr>
        <w:tab/>
      </w:r>
      <w:r>
        <w:rPr>
          <w:rFonts w:ascii="Times New Roman" w:cs="Times New Roman" w:eastAsia="Times New Roman" w:hAnsi="Times New Roman"/>
          <w:sz w:val="25"/>
          <w:szCs w:val="25"/>
          <w:b w:val="1"/>
          <w:bCs w:val="1"/>
          <w:color w:val="auto"/>
        </w:rPr>
        <w:t>Evercore 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161290</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9119"/>
      </w:cols>
      <w:pgMar w:left="1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Roman"/>
      <w:start w:val="6"/>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2"/>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Roman"/>
      <w:start w:val="3"/>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Roman"/>
      <w:start w:val="3"/>
    </w:lvl>
  </w:abstractNum>
  <w:abstractNum w:abstractNumId="34">
    <w:nsid w:val="7A6D8D3C"/>
    <w:multiLevelType w:val="hybridMultilevel"/>
    <w:lvl w:ilvl="0">
      <w:lvlJc w:val="left"/>
      <w:lvlText w:val="(%1)"/>
      <w:numFmt w:val="lowerRoman"/>
      <w:start w:val="2"/>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lowerRoman"/>
      <w:start w:val="3"/>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31"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jpe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jpeg"/><Relationship Id="rId146" Type="http://schemas.openxmlformats.org/officeDocument/2006/relationships/image" Target="media/image112.png"/><Relationship Id="rId12" Type="http://schemas.openxmlformats.org/officeDocument/2006/relationships/hyperlink" Target="https://www.sec.gov/Archives/edgar/data/1898416/000093041323002340/c107213_f3.htm#x1_c107213a001" TargetMode="External"/><Relationship Id="rId13" Type="http://schemas.openxmlformats.org/officeDocument/2006/relationships/hyperlink" Target="https://www.sec.gov/Archives/edgar/data/1898416/000093041323002340/c107213_f3.htm#x1_c107213a002" TargetMode="External"/><Relationship Id="rId14" Type="http://schemas.openxmlformats.org/officeDocument/2006/relationships/hyperlink" Target="https://www.sec.gov/Archives/edgar/data/1898416/000093041323002340/c107213_f3.htm#x1_c107213a003" TargetMode="External"/><Relationship Id="rId15" Type="http://schemas.openxmlformats.org/officeDocument/2006/relationships/hyperlink" Target="https://www.sec.gov/Archives/edgar/data/1898416/000093041323002340/c107213_f3.htm#x1_c107213a004" TargetMode="External"/><Relationship Id="rId16" Type="http://schemas.openxmlformats.org/officeDocument/2006/relationships/hyperlink" Target="https://www.sec.gov/Archives/edgar/data/1898416/000093041323002340/c107213_f3.htm#x1_c107213a005" TargetMode="External"/><Relationship Id="rId17" Type="http://schemas.openxmlformats.org/officeDocument/2006/relationships/hyperlink" Target="https://www.sec.gov/Archives/edgar/data/1898416/000093041323002340/c107213_f3.htm#x1_c107213a006" TargetMode="External"/><Relationship Id="rId18" Type="http://schemas.openxmlformats.org/officeDocument/2006/relationships/hyperlink" Target="https://www.sec.gov/Archives/edgar/data/1898416/000093041323002340/c107213_f3.htm#x1_c107213a007" TargetMode="External"/><Relationship Id="rId19" Type="http://schemas.openxmlformats.org/officeDocument/2006/relationships/hyperlink" Target="https://www.sec.gov/Archives/edgar/data/1898416/000093041323002340/c107213_f3.htm#x1_c107213a008" TargetMode="External"/><Relationship Id="rId20" Type="http://schemas.openxmlformats.org/officeDocument/2006/relationships/hyperlink" Target="https://www.sec.gov/Archives/edgar/data/1898416/000093041323002340/c107213_f3.htm#x1_c107213a009" TargetMode="External"/><Relationship Id="rId21" Type="http://schemas.openxmlformats.org/officeDocument/2006/relationships/hyperlink" Target="https://www.sec.gov/Archives/edgar/data/1898416/000093041323002340/c107213_f3.htm#x1_c107213a010" TargetMode="External"/><Relationship Id="rId22" Type="http://schemas.openxmlformats.org/officeDocument/2006/relationships/hyperlink" Target="https://www.sec.gov/Archives/edgar/data/1898416/000093041323002340/c107213_f3.htm#x1_c107213a011" TargetMode="External"/><Relationship Id="rId23" Type="http://schemas.openxmlformats.org/officeDocument/2006/relationships/hyperlink" Target="https://www.sec.gov/Archives/edgar/data/1898416/000093041323002340/c107213_f3.htm#x1_c107213a012" TargetMode="External"/><Relationship Id="rId24" Type="http://schemas.openxmlformats.org/officeDocument/2006/relationships/hyperlink" Target="https://www.sec.gov/Archives/edgar/data/1898416/000093041323002340/c107213_f3.htm#x1_c107213a013" TargetMode="External"/><Relationship Id="rId25" Type="http://schemas.openxmlformats.org/officeDocument/2006/relationships/hyperlink" Target="https://www.sec.gov/Archives/edgar/data/1898416/000093041323002340/c107213_f3.htm#x1_c107213a014" TargetMode="External"/><Relationship Id="rId26" Type="http://schemas.openxmlformats.org/officeDocument/2006/relationships/hyperlink" Target="https://www.sec.gov/Archives/edgar/data/1898416/000093041323002340/c107213_f3.htm#x1_c107213a015" TargetMode="External"/><Relationship Id="rId27" Type="http://schemas.openxmlformats.org/officeDocument/2006/relationships/hyperlink" Target="https://www.sec.gov/Archives/edgar/data/1898416/000093041323002340/c107213_f3.htm#x1_c107213a016" TargetMode="External"/><Relationship Id="rId28" Type="http://schemas.openxmlformats.org/officeDocument/2006/relationships/hyperlink" Target="https://www.sec.gov/Archives/edgar/data/1898416/000093041323002340/c107213_f3.htm#x1_c107213a017" TargetMode="External"/><Relationship Id="rId29" Type="http://schemas.openxmlformats.org/officeDocument/2006/relationships/hyperlink" Target="https://www.sec.gov/Archives/edgar/data/1898416/000093041323002340/c107213_f3.htm#x1_c107213a018" TargetMode="External"/><Relationship Id="rId30" Type="http://schemas.openxmlformats.org/officeDocument/2006/relationships/hyperlink" Target="https://www.sec.gov/Archives/edgar/data/1898416/000093041323002340/c107213_f3.htm#x1_c107213a019" TargetMode="External"/><Relationship Id="rId78" Type="http://schemas.openxmlformats.org/officeDocument/2006/relationships/hyperlink" Target="https://www.sec.gov/ix?doc=/Archives/edgar/data/0001898416/000189841626000004/alvo-20251231.htm" TargetMode="External"/><Relationship Id="rId79" Type="http://schemas.openxmlformats.org/officeDocument/2006/relationships/hyperlink" Target="https://www.sec.gov/Archives/edgar/data/1898416/000119312522172938/d337626d8a12b.htm" TargetMode="External"/><Relationship Id="rId80" Type="http://schemas.openxmlformats.org/officeDocument/2006/relationships/hyperlink" Target="https://www.sec.gov/Archives/edgar/data/1898416/000119312523056506/d454484dex211.htm" TargetMode="External"/><Relationship Id="rId81" Type="http://schemas.openxmlformats.org/officeDocument/2006/relationships/hyperlink" Target="https://www.sec.gov/Archives/edgar/data/1898416/000117184326002963/f6k_050426.htm" TargetMode="External"/><Relationship Id="rId82" Type="http://schemas.openxmlformats.org/officeDocument/2006/relationships/hyperlink" Target="https://www.sec.gov/Archives/edgar/data/1898416/000117184326003231/f6k_051126.htm" TargetMode="External"/><Relationship Id="rId83" Type="http://schemas.openxmlformats.org/officeDocument/2006/relationships/hyperlink" Target="https://www.sec.gov/Archives/edgar/data/1898416/000117184326003911/f6k_060426.htm" TargetMode="External"/><Relationship Id="rId84" Type="http://schemas.openxmlformats.org/officeDocument/2006/relationships/hyperlink" Target="https://www.sec.gov/Archives/edgar/data/1898416/000117184326003974/f6k_060826.htm" TargetMode="External"/><Relationship Id="rId85" Type="http://schemas.openxmlformats.org/officeDocument/2006/relationships/hyperlink" Target="https://www.sec.gov/Archives/edgar/data/1898416/000093041326001856/c116680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2026-06-16T16:30:54Z</dcterms:created>
  <dcterms:modified xsi:type="dcterms:W3CDTF">2026-06-16T16:30:54Z</dcterms:modified>
</cp:coreProperties>
</file>