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368935</wp:posOffset>
            </wp:positionV>
            <wp:extent cx="7132320" cy="25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139065</wp:posOffset>
            </wp:positionV>
            <wp:extent cx="7132320" cy="25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left="2460" w:right="84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June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001-41421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1788160</wp:posOffset>
            </wp:positionH>
            <wp:positionV relativeFrom="paragraph">
              <wp:posOffset>234315</wp:posOffset>
            </wp:positionV>
            <wp:extent cx="3566160" cy="25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Alvotech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1788160</wp:posOffset>
            </wp:positionH>
            <wp:positionV relativeFrom="paragraph">
              <wp:posOffset>219075</wp:posOffset>
            </wp:positionV>
            <wp:extent cx="3566160" cy="25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9, Rue de Bitbourg,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L-1273 Luxembourg,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Grand Duchy of Luxembourg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1788160</wp:posOffset>
            </wp:positionH>
            <wp:positionV relativeFrom="paragraph">
              <wp:posOffset>347980</wp:posOffset>
            </wp:positionV>
            <wp:extent cx="3566160" cy="25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8"/>
          <w:szCs w:val="18"/>
          <w:color w:val="auto"/>
        </w:rPr>
        <w:t xml:space="preserve">☐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40-F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494665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1043305</wp:posOffset>
            </wp:positionV>
            <wp:extent cx="7132320" cy="342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321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CONTAINED IN THIS REPORT ON FORM 6-K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Termination of ATM Prospectus Supplement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both"/>
        <w:ind w:firstLine="324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June 15, 2026, the Company notified Jefferies LLC that it was suspending its use of and terminating the prospectus supplement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ATM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Prospectus Supplement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related to the potential issuance from time to time of the Company’s ordinary shares pursuant to the Open Market Sale</w:t>
      </w:r>
    </w:p>
    <w:p>
      <w:pPr>
        <w:jc w:val="both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Agreement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perscript"/>
        </w:rPr>
        <w:t>SM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, dated June 14, 2024, by and between the Company and Jefferies LLC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Sales Agreement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 The Company will not make any sales of its securities pursuant to the Sales Agreement unless and until a new prospectus supplement or a new registration statement is filed. Other than the termination of the ATM Prospectus Supplement, the Sales Agreement remains in full force and effect.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INCORPORATION BY REFERENCE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firstLine="324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This Report shall be deemed to be incorporated by reference into the Company’s registration statements on Form F-3 (File Nos. 333-266136, 333-273262, 333-275111, and 333-281684), the Company’s registration statement on Form F-3ASR (File No. 333-289006), and the Company’s registration statement on Form S-8 (File No. 333-266881), including any prospectuses forming a part of such registration statements, and to be a part thereof from the date on which this Report is filed, to the extent not superseded by documents or reports subsequently filed or furnished.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211455</wp:posOffset>
            </wp:positionV>
            <wp:extent cx="7132320" cy="342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576" w:right="339" w:bottom="1440" w:gutter="0" w:footer="0" w:header="0"/>
        </w:sectPr>
      </w:pPr>
    </w:p>
    <w:bookmarkStart w:id="2" w:name="page3"/>
    <w:bookmarkEnd w:id="2"/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6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ALVOTECH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60" w:val="left"/>
          <w:tab w:leader="none" w:pos="6400" w:val="left"/>
          <w:tab w:leader="none" w:pos="6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June 15, 2026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/s/ Tanya Zharov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80"/>
        <w:spacing w:after="0"/>
        <w:tabs>
          <w:tab w:leader="none" w:pos="7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Tanya Zharov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4368165</wp:posOffset>
            </wp:positionH>
            <wp:positionV relativeFrom="paragraph">
              <wp:posOffset>-127635</wp:posOffset>
            </wp:positionV>
            <wp:extent cx="27686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880"/>
        <w:spacing w:after="0"/>
        <w:tabs>
          <w:tab w:leader="none" w:pos="7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600075</wp:posOffset>
            </wp:positionV>
            <wp:extent cx="7132320" cy="342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80"/>
      </w:cols>
      <w:pgMar w:left="320" w:top="576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2026-06-15T15:08:34Z</dcterms:created>
  <dcterms:modified xsi:type="dcterms:W3CDTF">2026-06-15T15:08:34Z</dcterms:modified>
</cp:coreProperties>
</file>