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For the month of July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001-41421</w:t>
      </w:r>
    </w:p>
    <w:p>
      <w:pPr>
        <w:spacing w:after="0" w:line="20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Alvotech</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9, Rue de Bitbourg,</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L-1273 Luxembourg,</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Grand Duchy of Luxembourg</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On July 1, 2026, Alvotech issued a Press Release announcing that the company had secured an additional term loan facility of $75 million maturing December 31, 2027, led by GoldenTree Asset Management. A copy of the Press Release is furnished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July 1, 2026</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1460" w:type="dxa"/>
            <w:vAlign w:val="bottom"/>
            <w:tcBorders>
              <w:top w:val="single" w:sz="8" w:color="0000EE"/>
              <w:bottom w:val="single" w:sz="8" w:color="808080"/>
            </w:tcBorders>
          </w:tcPr>
          <w:p>
            <w:pPr>
              <w:spacing w:after="0"/>
              <w:rPr>
                <w:sz w:val="12"/>
                <w:szCs w:val="12"/>
                <w:color w:val="auto"/>
              </w:rPr>
            </w:pPr>
          </w:p>
        </w:tc>
        <w:tc>
          <w:tcPr>
            <w:tcW w:w="73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c>
          <w:tcPr>
            <w:tcW w:w="260" w:type="dxa"/>
            <w:vAlign w:val="bottom"/>
          </w:tcPr>
          <w:p>
            <w:pPr>
              <w:spacing w:after="0"/>
              <w:rPr>
                <w:sz w:val="17"/>
                <w:szCs w:val="17"/>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Tanya Zharov</w:t>
            </w:r>
          </w:p>
        </w:tc>
      </w:tr>
      <w:tr>
        <w:trPr>
          <w:trHeight w:val="218"/>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782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160"/>
          </w:cols>
          <w:pgMar w:left="320" w:top="783" w:right="419" w:bottom="1440" w:gutter="0" w:footer="0" w:header="0"/>
        </w:sectPr>
      </w:pPr>
    </w:p>
    <w:bookmarkStart w:id="4" w:name="page5"/>
    <w:bookmarkEnd w:id="4"/>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Alvotech further strengthens liquidity by securing term loan facility of $75 million</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i w:val="1"/>
          <w:iCs w:val="1"/>
          <w:color w:val="auto"/>
        </w:rPr>
        <w:t>— $75 million additional term loan facility maturing December 31, 2027, led by GoldenTree Asset Management</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i w:val="1"/>
          <w:iCs w:val="1"/>
          <w:color w:val="auto"/>
        </w:rPr>
        <w:t>— Follows recent $165m equity raise strengthening cash position</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i w:val="1"/>
          <w:iCs w:val="1"/>
          <w:color w:val="auto"/>
        </w:rPr>
        <w:t>— Including equity financing and undrawn loan facility, Alvotech has secured access to $240 million in new capital</w:t>
      </w:r>
    </w:p>
    <w:p>
      <w:pPr>
        <w:spacing w:after="0" w:line="2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i w:val="1"/>
          <w:iCs w:val="1"/>
          <w:color w:val="auto"/>
        </w:rPr>
        <w:t>— Funds will support execution across Alvotech’s R&amp;D pipeline and global product launches</w:t>
      </w:r>
    </w:p>
    <w:p>
      <w:pPr>
        <w:spacing w:after="0" w:line="21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REYKJAVIK, Iceland, July 01, 2026 (GLOBE NEWSWIRE) -- Alvotech (NASDAQ: ALVO; ALVO-SDB), a global biotechnology company specializing in the development and manufacture of biosimilar medicines for patients worldwide, today announced that it has amended its existing credit agreement with funds managed by GoldenTree Asset Management LP and other existing lenders of Alvotech to provide a term loan facility of up to $75 million in additional capital.</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financing further strengthens Alvotech's financial position following the $165 million equity capital raise announced on June 18, 2026, and supports the continued execution of the company's growth strategy, including advancing its biosimilar pipeline, supporting product launches and expanding global commercial operations. Including the equity financing and the undrawn term loan facility the company has secured access to $240 million in new capital.</w:t>
      </w:r>
    </w:p>
    <w:p>
      <w:pPr>
        <w:spacing w:after="0" w:line="18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“This financing provides additional flexibility as we continue to execute on our strategic priorities and support the next phase of growth for Alvotech," said Robert Wessman, founder and chairman of Alvotech. “The strong support we received from both existing shareholders and more than 40 new specialist healthcare investors in our recent equity offering, together with this additional financing, reflects growing confidence in Alvotech, our strategy and the opportunities ahead.</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color w:val="auto"/>
        </w:rPr>
        <w:t>“Over the past several months we have achieved important milestones across our business, including the resubmission of key Biologics License Applications to the FDA, continued advancement of our pipeline including FDA acceptance of our BLA for a</w:t>
      </w:r>
    </w:p>
    <w:p>
      <w:pPr>
        <w:spacing w:after="0" w:line="2" w:lineRule="exact"/>
        <w:rPr>
          <w:sz w:val="20"/>
          <w:szCs w:val="20"/>
          <w:color w:val="auto"/>
        </w:rPr>
      </w:pPr>
    </w:p>
    <w:p>
      <w:pPr>
        <w:ind w:right="280"/>
        <w:spacing w:after="0" w:line="201" w:lineRule="auto"/>
        <w:rPr>
          <w:sz w:val="20"/>
          <w:szCs w:val="20"/>
          <w:color w:val="auto"/>
        </w:rPr>
      </w:pPr>
      <w:r>
        <w:rPr>
          <w:rFonts w:ascii="Times New Roman" w:cs="Times New Roman" w:eastAsia="Times New Roman" w:hAnsi="Times New Roman"/>
          <w:sz w:val="22"/>
          <w:szCs w:val="22"/>
          <w:color w:val="auto"/>
        </w:rPr>
        <w:t>biosimilar to 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and the expansion of our global commercial footprint. These achievements reinforce our belief that we are building one of the world’s leading biosimilars companies.</w:t>
      </w:r>
    </w:p>
    <w:p>
      <w:pPr>
        <w:spacing w:after="0" w:line="178"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“With approximately 30 biosimilar products in development and a growing portfolio of commercial opportunities, we see a significant opportunity to increase patient access to affordable biologic medicines around the world.</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“Capital is the fuel that enables us to execute on that vision, and this financing further strengthens our ability to invest in growth and create long-term value for patients, partners and shareholders.”</w:t>
      </w:r>
    </w:p>
    <w:p>
      <w:pPr>
        <w:spacing w:after="0" w:line="15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financing builds on Alvotech's existing relationship with GoldenTree, which has been a long-term financing partner to the company. It expands the company’s existing credit agreement by providing an additional $75 million term loan facility alongside the $100 million term loan facility announced in December 2025. It bears an interest rate of 12.50%, payable monthly in cash, and has a maturity date of December 31,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alvotech.ir@alvotech.com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w:t>
      </w:r>
    </w:p>
    <w:p>
      <w:pPr>
        <w:spacing w:after="0" w:line="182" w:lineRule="auto"/>
        <w:rPr>
          <w:sz w:val="20"/>
          <w:szCs w:val="20"/>
          <w:color w:val="auto"/>
        </w:rPr>
      </w:pPr>
      <w:r>
        <w:rPr>
          <w:rFonts w:ascii="Times New Roman" w:cs="Times New Roman" w:eastAsia="Times New Roman" w:hAnsi="Times New Roman"/>
          <w:sz w:val="21"/>
          <w:szCs w:val="21"/>
          <w:color w:val="auto"/>
        </w:rPr>
        <w:t>already approved and marketed in multiple global markets, including biosimilars to Humira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(adalimumab),  Stelara</w:t>
      </w:r>
      <w:r>
        <w:rPr>
          <w:rFonts w:ascii="Times New Roman" w:cs="Times New Roman" w:eastAsia="Times New Roman" w:hAnsi="Times New Roman"/>
          <w:sz w:val="34"/>
          <w:szCs w:val="34"/>
          <w:color w:val="auto"/>
          <w:vertAlign w:val="superscript"/>
        </w:rPr>
        <w: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(ustekinumab), Simponi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(golimumab), Eylea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(aflibercept) and Prolia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/Xgeva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For more information, please visit our investor portal, and our website or follow us on social media on LinkedIn, Facebook, Instagram and YouTube.</w:t>
      </w:r>
    </w:p>
    <w:p>
      <w:pPr>
        <w:sectPr>
          <w:pgSz w:w="11900" w:h="16840" w:orient="portrait"/>
          <w:cols w:equalWidth="0" w:num="1">
            <w:col w:w="11240"/>
          </w:cols>
          <w:pgMar w:left="320" w:top="108"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Alvotech Forward Looking Statements</w:t>
      </w:r>
    </w:p>
    <w:p>
      <w:pPr>
        <w:spacing w:after="0" w:line="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Certain statements in this communication may be considered “forward-looking statements” within the meaning of the Private Securities Litigation Reform Act of 1995, as amended. Forward-looking statements include, for example, Alvotech’s expectations regarding the adequacy and comprehensiveness of the data package to support the demonstration of biosimilarity and interchangeability for AVT16, business prospects and opportunities including pipeline product development, including AVT16 and AVT80, future plans and intentions, regulatory review and interactions, the potential approval, interchangeable designation and commercial launch of its product candidates, and Alvotech’s mission to expand patient access to biologic medicines.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lvl w:ilvl="3">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2026-07-01T07:02:24Z</dcterms:created>
  <dcterms:modified xsi:type="dcterms:W3CDTF">2026-07-01T07:02:24Z</dcterms:modified>
</cp:coreProperties>
</file>