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center"/>
        <w:rPr>
          <w:caps w:val="false"/>
          <w:smallCaps w:val="false"/>
        </w:rPr>
      </w:pPr>
      <w:bookmarkStart w:id="0" w:name="c116686_6k.htm"/>
      <w:bookmarkStart w:id="1" w:name="ksc116686_6k"/>
      <w:bookmarkEnd w:id="0"/>
      <w:bookmarkEnd w:id="1"/>
      <w:r>
        <w:rPr>
          <w:caps w:val="false"/>
          <w:smallCaps w:val="false"/>
        </w:rPr>
        <w:t> </w:t>
      </w:r>
    </w:p>
    <w:p>
      <w:pPr>
        <w:pStyle w:val="TextBody"/>
        <w:bidi w:val="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br/>
        <w:t>SECURITIES AND EXCHANGE COMMISSION</w:t>
      </w:r>
    </w:p>
    <w:p>
      <w:pPr>
        <w:pStyle w:val="TextBody"/>
        <w:bidi w:val="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jc w:val="center"/>
        <w:rPr>
          <w:caps w:val="false"/>
          <w:smallCaps w:val="false"/>
        </w:rPr>
      </w:pPr>
      <w:r>
        <w:rPr>
          <w:caps w:val="false"/>
          <w:smallCaps w:val="false"/>
        </w:rPr>
        <w:t> </w:t>
      </w:r>
    </w:p>
    <w:p>
      <w:pPr>
        <w:pStyle w:val="TextBody"/>
        <w:bidi w:val="0"/>
        <w:jc w:val="center"/>
        <w:rPr>
          <w:bdr w:val="single" w:sz="12" w:space="1" w:color="000000"/>
        </w:rPr>
      </w:pPr>
      <w:r>
        <w:rPr>
          <w:bdr w:val="single" w:sz="12" w:space="1" w:color="000000"/>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jc w:val="center"/>
        <w:rPr>
          <w:caps w:val="false"/>
          <w:smallCaps w:val="false"/>
        </w:rPr>
      </w:pPr>
      <w:r>
        <w:rPr>
          <w:caps w:val="false"/>
          <w:smallCaps w:val="false"/>
        </w:rPr>
        <w:t> </w:t>
      </w:r>
    </w:p>
    <w:p>
      <w:pPr>
        <w:pStyle w:val="TextBody"/>
        <w:bidi w:val="0"/>
        <w:jc w:val="center"/>
        <w:rPr>
          <w:bdr w:val="single" w:sz="12" w:space="1" w:color="000000"/>
        </w:rPr>
      </w:pPr>
      <w:r>
        <w:rPr>
          <w:bdr w:val="single" w:sz="12" w:space="1" w:color="000000"/>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REPORT OF FOREIGN PRIVATE ISSUER</w:t>
      </w:r>
    </w:p>
    <w:p>
      <w:pPr>
        <w:pStyle w:val="TextBody"/>
        <w:bidi w:val="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PURSUANT TO RULE 13a-16 OR 15d-16</w:t>
      </w:r>
    </w:p>
    <w:p>
      <w:pPr>
        <w:pStyle w:val="TextBody"/>
        <w:bidi w:val="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UNDER THE SECURITIES EXCHANGE ACT OF 1934</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June 2026</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001-41421</w:t>
      </w:r>
    </w:p>
    <w:p>
      <w:pPr>
        <w:pStyle w:val="TextBody"/>
        <w:bidi w:val="0"/>
        <w:jc w:val="center"/>
        <w:rPr>
          <w:caps w:val="false"/>
          <w:smallCaps w:val="false"/>
        </w:rPr>
      </w:pPr>
      <w:r>
        <w:rPr>
          <w:caps w:val="false"/>
          <w:smallCaps w:val="false"/>
        </w:rPr>
        <w:t> </w:t>
      </w:r>
    </w:p>
    <w:p>
      <w:pPr>
        <w:pStyle w:val="TextBody"/>
        <w:bidi w:val="0"/>
        <w:jc w:val="center"/>
        <w:rPr>
          <w:bdr w:val="single" w:sz="12" w:space="1" w:color="000000"/>
        </w:rPr>
      </w:pPr>
      <w:r>
        <w:rPr>
          <w:bdr w:val="single" w:sz="12" w:space="1" w:color="000000"/>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48"/>
        </w:rPr>
      </w:pPr>
      <w:r>
        <w:rPr>
          <w:rFonts w:ascii="Times New Roman;Times;Serif" w:hAnsi="Times New Roman;Times;Serif"/>
          <w:b/>
          <w:i w:val="false"/>
          <w:caps w:val="false"/>
          <w:smallCaps w:val="false"/>
          <w:sz w:val="48"/>
        </w:rPr>
        <w:t>Alvotech</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(Translation of registrant’s name into English)</w:t>
      </w:r>
    </w:p>
    <w:p>
      <w:pPr>
        <w:pStyle w:val="TextBody"/>
        <w:bidi w:val="0"/>
        <w:jc w:val="center"/>
        <w:rPr>
          <w:caps w:val="false"/>
          <w:smallCaps w:val="false"/>
        </w:rPr>
      </w:pPr>
      <w:r>
        <w:rPr>
          <w:caps w:val="false"/>
          <w:smallCaps w:val="false"/>
        </w:rPr>
        <w:t> </w:t>
      </w:r>
    </w:p>
    <w:p>
      <w:pPr>
        <w:pStyle w:val="TextBody"/>
        <w:bidi w:val="0"/>
        <w:jc w:val="center"/>
        <w:rPr>
          <w:bdr w:val="single" w:sz="12" w:space="1" w:color="000000"/>
        </w:rPr>
      </w:pPr>
      <w:r>
        <w:rPr>
          <w:bdr w:val="single" w:sz="12" w:space="1" w:color="000000"/>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9, Rue de Bitbourg, </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 xml:space="preserve">L-1273 Luxembourg, </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 xml:space="preserve">Grand Duchy of Luxembourg </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(Address of principal executive office)</w:t>
      </w:r>
    </w:p>
    <w:p>
      <w:pPr>
        <w:pStyle w:val="TextBody"/>
        <w:bidi w:val="0"/>
        <w:jc w:val="center"/>
        <w:rPr>
          <w:caps w:val="false"/>
          <w:smallCaps w:val="false"/>
        </w:rPr>
      </w:pPr>
      <w:r>
        <w:rPr>
          <w:caps w:val="false"/>
          <w:smallCaps w:val="false"/>
        </w:rPr>
        <w:t> </w:t>
      </w:r>
    </w:p>
    <w:p>
      <w:pPr>
        <w:pStyle w:val="TextBody"/>
        <w:bidi w:val="0"/>
        <w:jc w:val="center"/>
        <w:rPr>
          <w:bdr w:val="single" w:sz="12" w:space="1" w:color="000000"/>
        </w:rPr>
      </w:pPr>
      <w:r>
        <w:rPr>
          <w:bdr w:val="single" w:sz="12" w:space="1" w:color="000000"/>
        </w:rPr>
        <w:t> </w:t>
      </w:r>
    </w:p>
    <w:p>
      <w:pPr>
        <w:pStyle w:val="TextBody"/>
        <w:bidi w:val="0"/>
        <w:jc w:val="center"/>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Form 20-F  ☐ Form 40-F</w:t>
      </w:r>
    </w:p>
    <w:p>
      <w:pPr>
        <w:pStyle w:val="TextBody"/>
        <w:bidi w:val="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CONTAINED IN THIS REPORT ON FORM 6-K</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Underwriting Agreement</w:t>
      </w:r>
    </w:p>
    <w:p>
      <w:pPr>
        <w:pStyle w:val="TextBody"/>
        <w:bidi w:val="0"/>
        <w:ind w:left="0" w:right="0" w:firstLine="36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15, 2026, Alvotech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entered into an Underwriting Agreement (the “</w:t>
      </w:r>
      <w:r>
        <w:rPr>
          <w:rFonts w:ascii="Times New Roman;Times;Serif" w:hAnsi="Times New Roman;Times;Serif"/>
          <w:b w:val="false"/>
          <w:i w:val="false"/>
          <w:caps w:val="false"/>
          <w:smallCaps w:val="false"/>
          <w:sz w:val="20"/>
          <w:u w:val="single"/>
        </w:rPr>
        <w:t>Underwriting Agreement</w:t>
      </w:r>
      <w:r>
        <w:rPr>
          <w:rFonts w:ascii="Times New Roman;Times;Serif" w:hAnsi="Times New Roman;Times;Serif"/>
          <w:b w:val="false"/>
          <w:i w:val="false"/>
          <w:caps w:val="false"/>
          <w:smallCaps w:val="false"/>
          <w:sz w:val="20"/>
        </w:rPr>
        <w:t>”) with BofA Securities, Inc., Jefferies LLC and Evercore Group L.L.C. as representatives of the several underwriters named therein (the “</w:t>
      </w:r>
      <w:r>
        <w:rPr>
          <w:rFonts w:ascii="Times New Roman;Times;Serif" w:hAnsi="Times New Roman;Times;Serif"/>
          <w:b w:val="false"/>
          <w:i w:val="false"/>
          <w:caps w:val="false"/>
          <w:smallCaps w:val="false"/>
          <w:sz w:val="20"/>
          <w:u w:val="single"/>
        </w:rPr>
        <w:t>Underwriters</w:t>
      </w:r>
      <w:r>
        <w:rPr>
          <w:rFonts w:ascii="Times New Roman;Times;Serif" w:hAnsi="Times New Roman;Times;Serif"/>
          <w:b w:val="false"/>
          <w:i w:val="false"/>
          <w:caps w:val="false"/>
          <w:smallCaps w:val="false"/>
          <w:sz w:val="20"/>
        </w:rPr>
        <w:t>”), relating to a public offering (the “</w:t>
      </w:r>
      <w:r>
        <w:rPr>
          <w:rFonts w:ascii="Times New Roman;Times;Serif" w:hAnsi="Times New Roman;Times;Serif"/>
          <w:b w:val="false"/>
          <w:i w:val="false"/>
          <w:caps w:val="false"/>
          <w:smallCaps w:val="false"/>
          <w:sz w:val="20"/>
          <w:u w:val="single"/>
        </w:rPr>
        <w:t>Offering</w:t>
      </w:r>
      <w:r>
        <w:rPr>
          <w:rFonts w:ascii="Times New Roman;Times;Serif" w:hAnsi="Times New Roman;Times;Serif"/>
          <w:b w:val="false"/>
          <w:i w:val="false"/>
          <w:caps w:val="false"/>
          <w:smallCaps w:val="false"/>
          <w:sz w:val="20"/>
        </w:rPr>
        <w:t>”) by the Company of 22,666,667 ordinary shares of the Company, nominal value $0.01 per share (the “</w:t>
      </w:r>
      <w:r>
        <w:rPr>
          <w:rFonts w:ascii="Times New Roman;Times;Serif" w:hAnsi="Times New Roman;Times;Serif"/>
          <w:b w:val="false"/>
          <w:i w:val="false"/>
          <w:caps w:val="false"/>
          <w:smallCaps w:val="false"/>
          <w:sz w:val="20"/>
          <w:u w:val="single"/>
        </w:rPr>
        <w:t>Ordinary Shares</w:t>
      </w:r>
      <w:r>
        <w:rPr>
          <w:rFonts w:ascii="Times New Roman;Times;Serif" w:hAnsi="Times New Roman;Times;Serif"/>
          <w:b w:val="false"/>
          <w:i w:val="false"/>
          <w:caps w:val="false"/>
          <w:smallCaps w:val="false"/>
          <w:sz w:val="20"/>
        </w:rPr>
        <w:t xml:space="preserve">”), at a public offering price of $3.75 per share. In addition, the Company has also granted the Underwriters an option for a period of 30 days to purchase an additional 3,400,000 ordinary shares of the Company at the public offering price, less underwriting discounts and commissions, which was exercised by the Underwriters in full on June 16, 2026. </w:t>
      </w:r>
    </w:p>
    <w:p>
      <w:pPr>
        <w:pStyle w:val="TextBody"/>
        <w:bidi w:val="0"/>
        <w:ind w:left="0" w:right="0" w:firstLine="36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net proceeds to the Company from the sale of the Ordinary Shares in the Offering, after deducting the underwriting discounts and commissions and estimated offering expenses payable by the Company, will be approximately $91.20 million, including the full exercise by the Underwriters of their option to purchase additional shares.</w:t>
      </w:r>
    </w:p>
    <w:p>
      <w:pPr>
        <w:pStyle w:val="TextBody"/>
        <w:bidi w:val="0"/>
        <w:ind w:left="0" w:right="0" w:firstLine="36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Offering was made pursuant to the Company’s effective shelf registration statement on Form F-3 (File No. 333-275111) filed on October 20, 2023 and declared effective on October 30, 2023, as supplemented by a preliminary prospectus supplement and a final prospectus supplement, filed with the Securities and Exchange Commission (the “</w:t>
      </w:r>
      <w:r>
        <w:rPr>
          <w:rFonts w:ascii="Times New Roman;Times;Serif" w:hAnsi="Times New Roman;Times;Serif"/>
          <w:b w:val="false"/>
          <w:i w:val="false"/>
          <w:caps w:val="false"/>
          <w:smallCaps w:val="false"/>
          <w:sz w:val="20"/>
          <w:u w:val="single"/>
        </w:rPr>
        <w:t>Commission</w:t>
      </w:r>
      <w:r>
        <w:rPr>
          <w:rFonts w:ascii="Times New Roman;Times;Serif" w:hAnsi="Times New Roman;Times;Serif"/>
          <w:b w:val="false"/>
          <w:i w:val="false"/>
          <w:caps w:val="false"/>
          <w:smallCaps w:val="false"/>
          <w:sz w:val="20"/>
        </w:rPr>
        <w:t>”) on June 15, 2026 and June 16, 2026, respectively. The Offering is expected to close on June 17, 2026, subject to the satisfaction of customary closing conditions.</w:t>
      </w:r>
    </w:p>
    <w:p>
      <w:pPr>
        <w:pStyle w:val="TextBody"/>
        <w:bidi w:val="0"/>
        <w:ind w:left="0" w:right="0" w:firstLine="36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15, 2026 and June 16, 2026, the Company issued press releases announcing the launch and pricing of the Offering, respectively. A copy of these press releases are filed as Exhibits 99.1 and 99.2 hereto and are incorporated by reference herein.</w:t>
      </w:r>
    </w:p>
    <w:p>
      <w:pPr>
        <w:pStyle w:val="TextBody"/>
        <w:bidi w:val="0"/>
        <w:ind w:left="0" w:right="0" w:firstLine="36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Underwriting Agreement, the Company makes customary representations, warranties and covenants and customary conditions to closing and also agrees to indemnify the Underwriters against certain liabilities, including liabilities under the Securities Act of 1933, as amended, or to contribute to payments that the Underwriters may be required to make because of such liabilities and other obligations of the parties and termination provisions. The representations, warranties and covenants contained in the Underwriting Agreement were made only for purposes of such agreement and as of specific dates, were solely for the benefit of the parties to such agreement, and may be subject to limitations agreed upon by the contracting parties, including being qualified by confidential disclosures exchanged between the parties in connection with the execution of the Underwriting Agreement. Subject to certain exceptions, the Company, its officers, directors and certain of its stockholders agreed not to sell or otherwise dispose of any of the Ordinary Shares, subject to certain exceptions, for a period ending 90 days after the date of the final prospectus supplement filed with the SEC in connection with the Offering pursuant to Rule 424(b) under the Securities Act without first obtaining the written consent of BofA Securities, Inc., Jefferies LLC and Evercore Group L.L.C.</w:t>
      </w:r>
    </w:p>
    <w:p>
      <w:pPr>
        <w:pStyle w:val="TextBody"/>
        <w:bidi w:val="0"/>
        <w:ind w:left="0" w:right="0" w:firstLine="36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is only a brief description of the terms of the Underwriting Agreement, does not purport to be a complete description of the rights and obligations of the parties thereunder, and is qualified in its entirety by reference to the Underwriting Agreement that is filed as Exhibit 1.1 hereto and incorporated by reference herein.</w:t>
      </w:r>
    </w:p>
    <w:p>
      <w:pPr>
        <w:pStyle w:val="TextBody"/>
        <w:bidi w:val="0"/>
        <w:ind w:left="0" w:right="0" w:firstLine="36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legal opinion of Arendt &amp; Medernach SA relating to the Ordinary Shares is filed herewith as Exhibit 5.1.</w:t>
      </w:r>
    </w:p>
    <w:p>
      <w:pPr>
        <w:pStyle w:val="TextBody"/>
        <w:shd w:fill="FFFFFF" w:val="clear"/>
        <w:bidi w:val="0"/>
        <w:ind w:left="0" w:right="0" w:firstLine="36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Subscription Agreements</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16, 2026, the Company entered into subscription agreements (the “</w:t>
      </w:r>
      <w:r>
        <w:rPr>
          <w:rFonts w:ascii="Times New Roman;Times;Serif" w:hAnsi="Times New Roman;Times;Serif"/>
          <w:b w:val="false"/>
          <w:i w:val="false"/>
          <w:caps w:val="false"/>
          <w:smallCaps w:val="false"/>
          <w:sz w:val="20"/>
          <w:u w:val="single"/>
        </w:rPr>
        <w:t>PIPE Agreements</w:t>
      </w:r>
      <w:r>
        <w:rPr>
          <w:rFonts w:ascii="Times New Roman;Times;Serif" w:hAnsi="Times New Roman;Times;Serif"/>
          <w:b w:val="false"/>
          <w:i w:val="false"/>
          <w:caps w:val="false"/>
          <w:smallCaps w:val="false"/>
          <w:sz w:val="20"/>
        </w:rPr>
        <w:t>”) with certain investors that are professional clients or eligible counterparties in the European Economic Area falling within Article 1(4) of Regulation (EU) 2017/1129, pursuant to which the Company agreed to issue and sell to the investors in a private placement (the “</w:t>
      </w:r>
      <w:r>
        <w:rPr>
          <w:rFonts w:ascii="Times New Roman;Times;Serif" w:hAnsi="Times New Roman;Times;Serif"/>
          <w:b w:val="false"/>
          <w:i w:val="false"/>
          <w:caps w:val="false"/>
          <w:smallCaps w:val="false"/>
          <w:sz w:val="20"/>
          <w:u w:val="single"/>
        </w:rPr>
        <w:t>Private Placement</w:t>
      </w:r>
      <w:r>
        <w:rPr>
          <w:rFonts w:ascii="Times New Roman;Times;Serif" w:hAnsi="Times New Roman;Times;Serif"/>
          <w:b w:val="false"/>
          <w:i w:val="false"/>
          <w:caps w:val="false"/>
          <w:smallCaps w:val="false"/>
          <w:sz w:val="20"/>
        </w:rPr>
        <w:t>”) an aggregate of 17,826,666 Ordinary Shares. The purchase price per Ordinary Share being sold in the Private Placement will be equal to the public offering price per share in the Offering. The aggregate gross proceeds to the Company from the Private Placement will be approximately $66.85 million, before deducting transaction-related expenses payable by the Company.</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Consummation of the Private Placement is conditioned on the closing of the Offering and the satisfaction of certain other customary conditions, and is expected to occur within seven business days following the closing of the Offering. The consummation of the Offering is not contingent on the consummation of the Private Placement.</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one of the PIPE Agreements, the Company has granted registration rights to one investor in the Private Placement (the “</w:t>
      </w:r>
      <w:r>
        <w:rPr>
          <w:rFonts w:ascii="Times New Roman;Times;Serif" w:hAnsi="Times New Roman;Times;Serif"/>
          <w:b w:val="false"/>
          <w:i w:val="false"/>
          <w:caps w:val="false"/>
          <w:smallCaps w:val="false"/>
          <w:sz w:val="20"/>
          <w:u w:val="single"/>
        </w:rPr>
        <w:t>Registration Rights Investor</w:t>
      </w:r>
      <w:r>
        <w:rPr>
          <w:rFonts w:ascii="Times New Roman;Times;Serif" w:hAnsi="Times New Roman;Times;Serif"/>
          <w:b w:val="false"/>
          <w:i w:val="false"/>
          <w:caps w:val="false"/>
          <w:smallCaps w:val="false"/>
          <w:sz w:val="20"/>
        </w:rPr>
        <w:t>”). Specifically, the Registration Rights Investor may, at any time and from time to time, make a written demand for registration under the Securities Act of all or any portion of its subscription shares on any available form of registration statement (a “</w:t>
      </w:r>
      <w:r>
        <w:rPr>
          <w:rFonts w:ascii="Times New Roman;Times;Serif" w:hAnsi="Times New Roman;Times;Serif"/>
          <w:b w:val="false"/>
          <w:i w:val="false"/>
          <w:caps w:val="false"/>
          <w:smallCaps w:val="false"/>
          <w:sz w:val="20"/>
          <w:u w:val="single"/>
        </w:rPr>
        <w:t>Demand Registration</w:t>
      </w:r>
      <w:r>
        <w:rPr>
          <w:rFonts w:ascii="Times New Roman;Times;Serif" w:hAnsi="Times New Roman;Times;Serif"/>
          <w:b w:val="false"/>
          <w:i w:val="false"/>
          <w:caps w:val="false"/>
          <w:smallCaps w:val="false"/>
          <w:sz w:val="20"/>
        </w:rPr>
        <w:t>”), including by way of an underwritten offering with underwriters selected by the Registration Rights Investor and reasonably acceptable to the Company. The Company is obligated, using its reasonable best efforts and as expeditiously as possible after receipt of such demand, to prepare and file with the SEC a registration statement</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covering the resale of the shares and to keep such registration statement effective until all such shares have been disposed of or withdrawn. The Company is not obligated to effect more than two (2) Demand Registrations in total. The Company has the right to defer any Demand Registration for up to 60 days in total, or 30 consecutive days, in any 12-month period if the Board of Directors of the Company determines in good faith that effecting the registration at that time would be materially detrimental to the Company and its shareholders. All costs and expenses incurred in connection with a Demand Registration are to be borne by the Company. The Company has also agreed to provide certain customary indemnifications to the Registration Rights Investor.</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PIPE Agreements does not purport to be complete and is subject to, and qualified in its entirety by reference to the Form of PIPE Agreement, a copy of which is filed as Exhibit 10.1 hereto and incorporated by reference herein.</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Copies of the press releases announcing the commencement and pricing of the Offering and the Private Placement are furnished as Exhibits 99.1 and 99.2 hereto and incorporated herein by reference.</w:t>
      </w:r>
    </w:p>
    <w:p>
      <w:pPr>
        <w:pStyle w:val="TextBody"/>
        <w:bidi w:val="0"/>
        <w:ind w:left="0" w:right="0" w:firstLine="360"/>
        <w:jc w:val="both"/>
        <w:rPr>
          <w:caps w:val="false"/>
          <w:smallCaps w:val="false"/>
          <w:shd w:fill="FFFFFF" w:val="clear"/>
        </w:rPr>
      </w:pPr>
      <w:r>
        <w:rPr>
          <w:caps w:val="false"/>
          <w:smallCaps w:val="false"/>
          <w:shd w:fill="FFFFFF" w:val="clear"/>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Supplemental Risk Factor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risk factor is provided to supplement the Company’s risk factors previously disclosed under the heading “Risk Factors” in the Company’s Annual Report on Form 20-F for the year ended December 31, 2025.</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received Complete Response Letters from the FDA on our Biologics License Applications for AVT03, AVT05, and AVT06, and if our resubmission of our BLAs for AVT03, AVT05, and AVT06 is not approved in accordance with our expected timeframe, our business could be materially and adversely affected.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2025, the FDA accepted our BLA for AVT05 as a proposed biosimilar to Simponi / Simponi Aria (golimumab) for the treatment of patients with inflammatory conditions, including rheumatoid arthritis, psoriatic arthritis, ankylosing spondylitis, and ulcerative colitis.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2025, the FDA accepted our BLA for AVT06 as a proposed biosimilar to Eylea (aflibercept) for the treatment of patients with neovascular (wet) age related macular degeneration (AMD), macular edema, and diabetic retinopathy.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2025, the FDA accepted our partner’s BLA for AVT03 as a proposed biosimilar to Prolia (denosumab) for the treatment of osteoporosis in women after menopause who are at high risk for bone fracture and Xgeva (denosumab) a prescription biologic medicine used to prevent fracture, spinal cord compression, or the need for radiation or surgery to bone in patients with multiple myeloma and in patients with bone metastases from solid tumors.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fourth quarter of 2025, we and our partner received CRLs from the FDA regarding, respectively, the BLAs for AVT05, AVT06, and AVT03. The CRLs all stated that the FDA had identified deficiencies related to our Reykjavik manufacturing facility following the FDA’s pre license inspection in July 2025, which must be satisfactorily resolved before these BLAs may be approved. The FDA did not identify any other deficiencies with the applications.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4, 2026, we announced that we had resubmitted our BLAs for AVT05 and AVT06. Prior to approval of such BLAs, the FDA may decide to re-inspect our Reykjavik manufacturing facility. If the FDA re-inspects our facility and does not agree with our assessment that the previously identified deficiencies have been adequately resolved, or were to identify additional deficiencies, the approval of AVT05 and AVT06 in the United Sates may be further delayed, which could have a material adverse effect on our business, financial condition, and results of operations and may cause the market price of our securities to decline.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note on forward-looking statements</w:t>
      </w:r>
    </w:p>
    <w:p>
      <w:pPr>
        <w:pStyle w:val="TextBody"/>
        <w:bidi w:val="0"/>
        <w:jc w:val="both"/>
        <w:rPr>
          <w:caps w:val="false"/>
          <w:smallCaps w:val="false"/>
        </w:rPr>
      </w:pPr>
      <w:r>
        <w:rPr>
          <w:caps w:val="false"/>
          <w:smallCaps w:val="false"/>
        </w:rPr>
        <w:t> </w:t>
      </w:r>
    </w:p>
    <w:p>
      <w:pPr>
        <w:pStyle w:val="TextBody"/>
        <w:shd w:fill="FFFFFF" w:val="clear"/>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Report on Form 6-K (the “</w:t>
      </w:r>
      <w:r>
        <w:rPr>
          <w:rFonts w:ascii="Times New Roman;Times;Serif" w:hAnsi="Times New Roman;Times;Serif"/>
          <w:b w:val="false"/>
          <w:i w:val="false"/>
          <w:caps w:val="false"/>
          <w:smallCaps w:val="false"/>
          <w:sz w:val="20"/>
          <w:u w:val="single"/>
        </w:rPr>
        <w:t>Report</w:t>
      </w:r>
      <w:r>
        <w:rPr>
          <w:rFonts w:ascii="Times New Roman;Times;Serif" w:hAnsi="Times New Roman;Times;Serif"/>
          <w:b w:val="false"/>
          <w:i w:val="false"/>
          <w:caps w:val="false"/>
          <w:smallCaps w:val="false"/>
          <w:sz w:val="20"/>
        </w:rPr>
        <w:t xml:space="preserve">”) contains forward-looking statements within the meaning of the Private Securities Litigation Reform Act of 1995. Words such as “may,” “will,” “expect,” “plan,” “anticipate,” “estimate,” “intend” and similar expressions (as well as other words or expressions referencing future events, conditions or circumstances) are intended to identify forward-looking statements. </w:t>
      </w:r>
      <w:r>
        <w:rPr>
          <w:rFonts w:ascii="Times New Roman;Times;Serif" w:hAnsi="Times New Roman;Times;Serif"/>
          <w:b w:val="false"/>
          <w:i w:val="false"/>
          <w:caps w:val="false"/>
          <w:smallCaps w:val="false"/>
          <w:sz w:val="20"/>
          <w:shd w:fill="FFFFFF" w:val="clear"/>
        </w:rPr>
        <w:t xml:space="preserve">All statements, other than statements of historical facts, included in this Report are forward-looking statements. These statements include, but not limited to, statements regarding the Company’s expected net proceeds from the Offering and the Private Placement and the expected closing of the Offering and the Private Placement. </w:t>
      </w:r>
      <w:r>
        <w:rPr>
          <w:rFonts w:ascii="Times New Roman;Times;Serif" w:hAnsi="Times New Roman;Times;Serif"/>
          <w:b w:val="false"/>
          <w:i w:val="false"/>
          <w:caps w:val="false"/>
          <w:smallCaps w:val="false"/>
          <w:sz w:val="20"/>
        </w:rPr>
        <w:t>These forward-looking statements are based on the Company’s expectations and assumptions as of the date of this Report. Each of these forward-looking statements involves risks and uncertainties, including market risks and uncertainties and risks relating to the satisfaction of customary closing conditions for the Offering. Actual results may differ materially from those expressed or implied by these forward-looking statements. For a discussion of risk factors that may cause the Company’s actual results to differ from those expressed or implied in the forward-looking statements in this Report, you should refer to the Company’s filings with the U.S. Securities and Exchange Commission, including the “Risk Factors” sections contained therein. Except as required by law, the Company undertakes no obligation to publicly update any forward-looking statements, whether as a result of new information, future events or otherwise, except as</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required by law. You should, therefore, not rely on these forward-looking statements as representing the Company’s views as of any date subsequent to the date of this Report.</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INCORPORATION BY REFERENCE</w:t>
      </w:r>
    </w:p>
    <w:p>
      <w:pPr>
        <w:pStyle w:val="TextBody"/>
        <w:bidi w:val="0"/>
        <w:jc w:val="left"/>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Report, including Exhibit 10.1, but excluding all other Exhibits attached hereto, shall be deemed to be incorporated by reference into the Company’s registration statements on Form F-3 (File Nos. 333-266136, 333-273262, 333-275111 and 333-281684), and the Company’s registration statement on Form S-8 (File No. 333-266881), including any prospectuses forming a part of such registration statements, and to be a part thereof from the date on which this Report is filed, to the extent not superseded by documents or reports subsequently filed or furnished. Exhibits 99.1 and 99.2 to this Report are being furnished and shall not be deemed “filed” for purposes of Section 18 of the Securities Exchange Act of 1934 (the “Exchange Act”) or otherwise subject to the liabilities of that section, nor shall the be deemed incorporated by reference in any filing under the Securities Act of 1933 or the Exchange Act.</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85"/>
        <w:gridCol w:w="60"/>
        <w:gridCol w:w="9360"/>
      </w:tblGrid>
      <w:tr>
        <w:trPr/>
        <w:tc>
          <w:tcPr>
            <w:tcW w:w="785" w:type="dxa"/>
            <w:tcBorders>
              <w:bottom w:val="single" w:sz="12" w:space="0" w:color="000000"/>
            </w:tcBorders>
            <w:vAlign w:val="center"/>
          </w:tcPr>
          <w:p>
            <w:pPr>
              <w:pStyle w:val="TableContents"/>
              <w:bidi w:val="0"/>
              <w:jc w:val="center"/>
              <w:rPr>
                <w:b/>
              </w:rPr>
            </w:pPr>
            <w:r>
              <w:rPr>
                <w:b/>
              </w:rPr>
              <w:t>Exhibit</w:t>
            </w:r>
          </w:p>
          <w:p>
            <w:pPr>
              <w:pStyle w:val="TableContents"/>
              <w:bidi w:val="0"/>
              <w:spacing w:before="0" w:after="283"/>
              <w:jc w:val="center"/>
              <w:rPr>
                <w:b/>
              </w:rPr>
            </w:pPr>
            <w:r>
              <w:rPr>
                <w:b/>
              </w:rPr>
              <w:t>No.</w:t>
            </w:r>
          </w:p>
        </w:tc>
        <w:tc>
          <w:tcPr>
            <w:tcW w:w="60" w:type="dxa"/>
            <w:tcBorders/>
            <w:tcMar>
              <w:bottom w:w="0" w:type="dxa"/>
            </w:tcMar>
            <w:vAlign w:val="center"/>
          </w:tcPr>
          <w:p>
            <w:pPr>
              <w:pStyle w:val="TableContents"/>
              <w:bidi w:val="0"/>
              <w:spacing w:before="0" w:after="283"/>
              <w:jc w:val="left"/>
              <w:rPr/>
            </w:pPr>
            <w:r>
              <w:rPr/>
              <w:t> </w:t>
            </w:r>
          </w:p>
        </w:tc>
        <w:tc>
          <w:tcPr>
            <w:tcW w:w="9360" w:type="dxa"/>
            <w:tcBorders>
              <w:bottom w:val="single" w:sz="12" w:space="0" w:color="000000"/>
            </w:tcBorders>
            <w:vAlign w:val="center"/>
          </w:tcPr>
          <w:p>
            <w:pPr>
              <w:pStyle w:val="TableContents"/>
              <w:bidi w:val="0"/>
              <w:spacing w:before="0" w:after="283"/>
              <w:jc w:val="center"/>
              <w:rPr>
                <w:b/>
              </w:rPr>
            </w:pPr>
            <w:r>
              <w:rPr>
                <w:b/>
              </w:rPr>
              <w:t>Description</w:t>
            </w:r>
          </w:p>
        </w:tc>
      </w:tr>
      <w:tr>
        <w:trPr/>
        <w:tc>
          <w:tcPr>
            <w:tcW w:w="78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60" w:type="dxa"/>
            <w:tcBorders/>
            <w:tcMar>
              <w:bottom w:w="0" w:type="dxa"/>
            </w:tcMar>
            <w:vAlign w:val="center"/>
          </w:tcPr>
          <w:p>
            <w:pPr>
              <w:pStyle w:val="TableContents"/>
              <w:bidi w:val="0"/>
              <w:spacing w:before="0" w:after="283"/>
              <w:jc w:val="left"/>
              <w:rPr/>
            </w:pPr>
            <w:r>
              <w:rPr/>
              <w:t> </w:t>
            </w:r>
          </w:p>
        </w:tc>
      </w:tr>
      <w:tr>
        <w:trPr/>
        <w:tc>
          <w:tcPr>
            <w:tcW w:w="785" w:type="dxa"/>
            <w:tcBorders/>
            <w:tcMar>
              <w:bottom w:w="0" w:type="dxa"/>
            </w:tcMar>
            <w:vAlign w:val="center"/>
          </w:tcPr>
          <w:p>
            <w:pPr>
              <w:pStyle w:val="TableContents"/>
              <w:bidi w:val="0"/>
              <w:spacing w:before="0" w:after="283"/>
              <w:jc w:val="left"/>
              <w:rPr/>
            </w:pPr>
            <w:r>
              <w:rPr/>
              <w:t>1.1</w:t>
            </w:r>
          </w:p>
        </w:tc>
        <w:tc>
          <w:tcPr>
            <w:tcW w:w="60" w:type="dxa"/>
            <w:tcBorders/>
            <w:tcMar>
              <w:bottom w:w="0" w:type="dxa"/>
            </w:tcMar>
            <w:vAlign w:val="center"/>
          </w:tcPr>
          <w:p>
            <w:pPr>
              <w:pStyle w:val="TableContents"/>
              <w:bidi w:val="0"/>
              <w:spacing w:before="0" w:after="283"/>
              <w:jc w:val="left"/>
              <w:rPr/>
            </w:pPr>
            <w:r>
              <w:rPr/>
              <w:t> </w:t>
            </w:r>
          </w:p>
        </w:tc>
        <w:tc>
          <w:tcPr>
            <w:tcW w:w="9360" w:type="dxa"/>
            <w:tcBorders/>
            <w:tcMar>
              <w:bottom w:w="0" w:type="dxa"/>
            </w:tcMar>
            <w:vAlign w:val="center"/>
          </w:tcPr>
          <w:p>
            <w:pPr>
              <w:pStyle w:val="TableContents"/>
              <w:bidi w:val="0"/>
              <w:spacing w:before="0" w:after="283"/>
              <w:jc w:val="left"/>
              <w:rPr/>
            </w:pPr>
            <w:hyperlink w:anchor="c116686_ex1-1.htm">
              <w:r>
                <w:rPr>
                  <w:rStyle w:val="InternetLink"/>
                </w:rPr>
                <w:t>Underwriting Agreement, dated June 15, 2026, by and among the Company and BofA Securities, Inc., Jefferies LLC and Evercore Group L.L.C., as representatives of the several underwriters named therein.</w:t>
              </w:r>
            </w:hyperlink>
          </w:p>
        </w:tc>
      </w:tr>
      <w:tr>
        <w:trPr/>
        <w:tc>
          <w:tcPr>
            <w:tcW w:w="785" w:type="dxa"/>
            <w:tcBorders/>
            <w:tcMar>
              <w:bottom w:w="0" w:type="dxa"/>
            </w:tcMar>
            <w:vAlign w:val="center"/>
          </w:tcPr>
          <w:p>
            <w:pPr>
              <w:pStyle w:val="TableContents"/>
              <w:bidi w:val="0"/>
              <w:spacing w:before="0" w:after="283"/>
              <w:jc w:val="left"/>
              <w:rPr/>
            </w:pPr>
            <w:r>
              <w:rPr/>
              <w:t>5.1</w:t>
            </w:r>
          </w:p>
        </w:tc>
        <w:tc>
          <w:tcPr>
            <w:tcW w:w="60" w:type="dxa"/>
            <w:tcBorders/>
            <w:tcMar>
              <w:bottom w:w="0" w:type="dxa"/>
            </w:tcMar>
            <w:vAlign w:val="center"/>
          </w:tcPr>
          <w:p>
            <w:pPr>
              <w:pStyle w:val="TableContents"/>
              <w:bidi w:val="0"/>
              <w:spacing w:before="0" w:after="283"/>
              <w:jc w:val="left"/>
              <w:rPr/>
            </w:pPr>
            <w:r>
              <w:rPr/>
              <w:t> </w:t>
            </w:r>
          </w:p>
        </w:tc>
        <w:tc>
          <w:tcPr>
            <w:tcW w:w="9360" w:type="dxa"/>
            <w:tcBorders/>
            <w:tcMar>
              <w:bottom w:w="0" w:type="dxa"/>
            </w:tcMar>
            <w:vAlign w:val="center"/>
          </w:tcPr>
          <w:p>
            <w:pPr>
              <w:pStyle w:val="TableContents"/>
              <w:bidi w:val="0"/>
              <w:spacing w:before="0" w:after="283"/>
              <w:jc w:val="left"/>
              <w:rPr/>
            </w:pPr>
            <w:hyperlink w:anchor="c116686_ex5-1.htm">
              <w:r>
                <w:rPr>
                  <w:rStyle w:val="InternetLink"/>
                </w:rPr>
                <w:t>Opinion of Arendt &amp; Medernach SA, Luxembourg counsel to the Company.</w:t>
              </w:r>
            </w:hyperlink>
          </w:p>
        </w:tc>
      </w:tr>
      <w:tr>
        <w:trPr/>
        <w:tc>
          <w:tcPr>
            <w:tcW w:w="785" w:type="dxa"/>
            <w:tcBorders/>
            <w:tcMar>
              <w:bottom w:w="0" w:type="dxa"/>
            </w:tcMar>
            <w:vAlign w:val="center"/>
          </w:tcPr>
          <w:p>
            <w:pPr>
              <w:pStyle w:val="TableContents"/>
              <w:bidi w:val="0"/>
              <w:spacing w:before="0" w:after="283"/>
              <w:jc w:val="left"/>
              <w:rPr/>
            </w:pPr>
            <w:r>
              <w:rPr/>
              <w:t>10.1</w:t>
            </w:r>
          </w:p>
        </w:tc>
        <w:tc>
          <w:tcPr>
            <w:tcW w:w="60" w:type="dxa"/>
            <w:tcBorders/>
            <w:tcMar>
              <w:bottom w:w="0" w:type="dxa"/>
            </w:tcMar>
            <w:vAlign w:val="center"/>
          </w:tcPr>
          <w:p>
            <w:pPr>
              <w:pStyle w:val="TableContents"/>
              <w:bidi w:val="0"/>
              <w:spacing w:before="0" w:after="283"/>
              <w:jc w:val="left"/>
              <w:rPr/>
            </w:pPr>
            <w:r>
              <w:rPr/>
              <w:t> </w:t>
            </w:r>
          </w:p>
        </w:tc>
        <w:tc>
          <w:tcPr>
            <w:tcW w:w="9360" w:type="dxa"/>
            <w:tcBorders/>
            <w:tcMar>
              <w:bottom w:w="0" w:type="dxa"/>
            </w:tcMar>
            <w:vAlign w:val="center"/>
          </w:tcPr>
          <w:p>
            <w:pPr>
              <w:pStyle w:val="TableContents"/>
              <w:bidi w:val="0"/>
              <w:spacing w:before="0" w:after="283"/>
              <w:jc w:val="left"/>
              <w:rPr/>
            </w:pPr>
            <w:hyperlink w:anchor="c116686_ex10-1.htm">
              <w:r>
                <w:rPr>
                  <w:rStyle w:val="InternetLink"/>
                </w:rPr>
                <w:t>Form of Subscription Agreement</w:t>
              </w:r>
            </w:hyperlink>
          </w:p>
        </w:tc>
      </w:tr>
      <w:tr>
        <w:trPr/>
        <w:tc>
          <w:tcPr>
            <w:tcW w:w="785" w:type="dxa"/>
            <w:tcBorders/>
            <w:tcMar>
              <w:bottom w:w="0" w:type="dxa"/>
            </w:tcMar>
            <w:vAlign w:val="center"/>
          </w:tcPr>
          <w:p>
            <w:pPr>
              <w:pStyle w:val="TableContents"/>
              <w:bidi w:val="0"/>
              <w:spacing w:before="0" w:after="283"/>
              <w:jc w:val="left"/>
              <w:rPr/>
            </w:pPr>
            <w:r>
              <w:rPr/>
              <w:t>23.1</w:t>
            </w:r>
          </w:p>
        </w:tc>
        <w:tc>
          <w:tcPr>
            <w:tcW w:w="60" w:type="dxa"/>
            <w:tcBorders/>
            <w:tcMar>
              <w:bottom w:w="0" w:type="dxa"/>
            </w:tcMar>
            <w:vAlign w:val="center"/>
          </w:tcPr>
          <w:p>
            <w:pPr>
              <w:pStyle w:val="TableContents"/>
              <w:bidi w:val="0"/>
              <w:spacing w:before="0" w:after="283"/>
              <w:jc w:val="left"/>
              <w:rPr/>
            </w:pPr>
            <w:r>
              <w:rPr/>
              <w:t> </w:t>
            </w:r>
          </w:p>
        </w:tc>
        <w:tc>
          <w:tcPr>
            <w:tcW w:w="9360" w:type="dxa"/>
            <w:tcBorders/>
            <w:tcMar>
              <w:bottom w:w="0" w:type="dxa"/>
            </w:tcMar>
            <w:vAlign w:val="center"/>
          </w:tcPr>
          <w:p>
            <w:pPr>
              <w:pStyle w:val="TableContents"/>
              <w:bidi w:val="0"/>
              <w:spacing w:before="0" w:after="283"/>
              <w:jc w:val="left"/>
              <w:rPr/>
            </w:pPr>
            <w:hyperlink w:anchor="c116686_ex5-1.htm">
              <w:r>
                <w:rPr>
                  <w:rStyle w:val="InternetLink"/>
                </w:rPr>
                <w:t>Consent of Arendt &amp; Medernach SA (included in Exhibit 5.1).</w:t>
              </w:r>
            </w:hyperlink>
          </w:p>
        </w:tc>
      </w:tr>
      <w:tr>
        <w:trPr/>
        <w:tc>
          <w:tcPr>
            <w:tcW w:w="785" w:type="dxa"/>
            <w:tcBorders/>
            <w:tcMar>
              <w:bottom w:w="0" w:type="dxa"/>
            </w:tcMar>
            <w:vAlign w:val="center"/>
          </w:tcPr>
          <w:p>
            <w:pPr>
              <w:pStyle w:val="TableContents"/>
              <w:bidi w:val="0"/>
              <w:spacing w:before="0" w:after="283"/>
              <w:jc w:val="left"/>
              <w:rPr/>
            </w:pPr>
            <w:r>
              <w:rPr/>
              <w:t>99.1</w:t>
            </w:r>
          </w:p>
        </w:tc>
        <w:tc>
          <w:tcPr>
            <w:tcW w:w="60" w:type="dxa"/>
            <w:tcBorders/>
            <w:tcMar>
              <w:bottom w:w="0" w:type="dxa"/>
            </w:tcMar>
            <w:vAlign w:val="center"/>
          </w:tcPr>
          <w:p>
            <w:pPr>
              <w:pStyle w:val="TableContents"/>
              <w:bidi w:val="0"/>
              <w:spacing w:before="0" w:after="283"/>
              <w:jc w:val="left"/>
              <w:rPr/>
            </w:pPr>
            <w:r>
              <w:rPr/>
              <w:t> </w:t>
            </w:r>
          </w:p>
        </w:tc>
        <w:tc>
          <w:tcPr>
            <w:tcW w:w="9360" w:type="dxa"/>
            <w:tcBorders/>
            <w:tcMar>
              <w:bottom w:w="0" w:type="dxa"/>
            </w:tcMar>
            <w:vAlign w:val="center"/>
          </w:tcPr>
          <w:p>
            <w:pPr>
              <w:pStyle w:val="TableContents"/>
              <w:bidi w:val="0"/>
              <w:spacing w:before="0" w:after="283"/>
              <w:jc w:val="left"/>
              <w:rPr/>
            </w:pPr>
            <w:hyperlink w:anchor="c116686_ex99-1.htm">
              <w:r>
                <w:rPr>
                  <w:rStyle w:val="InternetLink"/>
                  <w:color w:val="000000"/>
                </w:rPr>
                <w:t>Launch Press Release, dated June 15, 2026</w:t>
              </w:r>
            </w:hyperlink>
            <w:r>
              <w:rPr/>
              <w:t>.</w:t>
            </w:r>
          </w:p>
        </w:tc>
      </w:tr>
      <w:tr>
        <w:trPr/>
        <w:tc>
          <w:tcPr>
            <w:tcW w:w="785" w:type="dxa"/>
            <w:tcBorders/>
            <w:tcMar>
              <w:bottom w:w="0" w:type="dxa"/>
            </w:tcMar>
            <w:vAlign w:val="center"/>
          </w:tcPr>
          <w:p>
            <w:pPr>
              <w:pStyle w:val="TableContents"/>
              <w:bidi w:val="0"/>
              <w:spacing w:before="0" w:after="283"/>
              <w:jc w:val="left"/>
              <w:rPr/>
            </w:pPr>
            <w:r>
              <w:rPr/>
              <w:t>99.2</w:t>
            </w:r>
          </w:p>
        </w:tc>
        <w:tc>
          <w:tcPr>
            <w:tcW w:w="60" w:type="dxa"/>
            <w:tcBorders/>
            <w:tcMar>
              <w:bottom w:w="0" w:type="dxa"/>
            </w:tcMar>
            <w:vAlign w:val="center"/>
          </w:tcPr>
          <w:p>
            <w:pPr>
              <w:pStyle w:val="TableContents"/>
              <w:bidi w:val="0"/>
              <w:spacing w:before="0" w:after="283"/>
              <w:jc w:val="left"/>
              <w:rPr/>
            </w:pPr>
            <w:r>
              <w:rPr/>
              <w:t> </w:t>
            </w:r>
          </w:p>
        </w:tc>
        <w:tc>
          <w:tcPr>
            <w:tcW w:w="9360" w:type="dxa"/>
            <w:tcBorders/>
            <w:tcMar>
              <w:bottom w:w="0" w:type="dxa"/>
            </w:tcMar>
            <w:vAlign w:val="center"/>
          </w:tcPr>
          <w:p>
            <w:pPr>
              <w:pStyle w:val="TableContents"/>
              <w:bidi w:val="0"/>
              <w:spacing w:before="0" w:after="283"/>
              <w:jc w:val="left"/>
              <w:rPr/>
            </w:pPr>
            <w:hyperlink w:anchor="c116686_ex99-2.htm">
              <w:r>
                <w:rPr>
                  <w:rStyle w:val="InternetLink"/>
                  <w:color w:val="000000"/>
                </w:rPr>
                <w:t>Pricing Press Release, dated June 16, 2026.</w:t>
              </w:r>
            </w:hyperlink>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lineRule="auto" w:line="288"/>
        <w:jc w:val="center"/>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jc w:val="left"/>
        <w:rPr>
          <w:caps w:val="false"/>
          <w:smallCaps w:val="false"/>
        </w:rPr>
      </w:pPr>
      <w:r>
        <w:rPr>
          <w:caps w:val="false"/>
          <w:smallCaps w:val="false"/>
        </w:rPr>
        <w:t> </w:t>
      </w:r>
    </w:p>
    <w:tbl>
      <w:tblPr>
        <w:tblW w:w="4660" w:type="dxa"/>
        <w:jc w:val="left"/>
        <w:tblInd w:w="0" w:type="dxa"/>
        <w:tblLayout w:type="fixed"/>
        <w:tblCellMar>
          <w:top w:w="0" w:type="dxa"/>
          <w:left w:w="0" w:type="dxa"/>
          <w:bottom w:w="0" w:type="dxa"/>
          <w:right w:w="0" w:type="dxa"/>
        </w:tblCellMar>
      </w:tblPr>
      <w:tblGrid>
        <w:gridCol w:w="545"/>
        <w:gridCol w:w="1355"/>
        <w:gridCol w:w="365"/>
        <w:gridCol w:w="710"/>
        <w:gridCol w:w="1610"/>
        <w:gridCol w:w="75"/>
      </w:tblGrid>
      <w:tr>
        <w:trPr/>
        <w:tc>
          <w:tcPr>
            <w:tcW w:w="545"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283"/>
              <w:jc w:val="left"/>
              <w:rPr/>
            </w:pPr>
            <w:r>
              <w:rPr/>
              <w:t> </w:t>
            </w:r>
          </w:p>
        </w:tc>
        <w:tc>
          <w:tcPr>
            <w:tcW w:w="2760" w:type="dxa"/>
            <w:gridSpan w:val="4"/>
            <w:tcBorders/>
            <w:vAlign w:val="center"/>
          </w:tcPr>
          <w:p>
            <w:pPr>
              <w:pStyle w:val="TableContents"/>
              <w:bidi w:val="0"/>
              <w:spacing w:before="0" w:after="283"/>
              <w:jc w:val="left"/>
              <w:rPr>
                <w:b/>
              </w:rPr>
            </w:pPr>
            <w:r>
              <w:rPr>
                <w:b/>
              </w:rPr>
              <w:t>ALVOTECH</w:t>
            </w:r>
          </w:p>
        </w:tc>
      </w:tr>
      <w:tr>
        <w:trPr/>
        <w:tc>
          <w:tcPr>
            <w:tcW w:w="545"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395" w:type="dxa"/>
            <w:gridSpan w:val="3"/>
            <w:tcBorders/>
            <w:vAlign w:val="center"/>
          </w:tcPr>
          <w:p>
            <w:pPr>
              <w:pStyle w:val="TableContents"/>
              <w:bidi w:val="0"/>
              <w:spacing w:before="0" w:after="283"/>
              <w:jc w:val="left"/>
              <w:rPr/>
            </w:pPr>
            <w:r>
              <w:rPr/>
              <w:t> </w:t>
            </w:r>
          </w:p>
        </w:tc>
      </w:tr>
      <w:tr>
        <w:trPr/>
        <w:tc>
          <w:tcPr>
            <w:tcW w:w="545" w:type="dxa"/>
            <w:tcBorders/>
            <w:vAlign w:val="center"/>
          </w:tcPr>
          <w:p>
            <w:pPr>
              <w:pStyle w:val="TableContents"/>
              <w:bidi w:val="0"/>
              <w:spacing w:before="0" w:after="283"/>
              <w:jc w:val="left"/>
              <w:rPr>
                <w:color w:val="000000"/>
              </w:rPr>
            </w:pPr>
            <w:r>
              <w:rPr>
                <w:color w:val="000000"/>
              </w:rPr>
              <w:t>Date:</w:t>
            </w:r>
          </w:p>
        </w:tc>
        <w:tc>
          <w:tcPr>
            <w:tcW w:w="1355" w:type="dxa"/>
            <w:tcBorders/>
            <w:vAlign w:val="center"/>
          </w:tcPr>
          <w:p>
            <w:pPr>
              <w:pStyle w:val="TableContents"/>
              <w:bidi w:val="0"/>
              <w:spacing w:before="0" w:after="283"/>
              <w:jc w:val="left"/>
              <w:rPr>
                <w:color w:val="000000"/>
              </w:rPr>
            </w:pPr>
            <w:r>
              <w:rPr>
                <w:color w:val="000000"/>
              </w:rPr>
              <w:t>June 16, 2026</w:t>
            </w:r>
          </w:p>
        </w:tc>
        <w:tc>
          <w:tcPr>
            <w:tcW w:w="365" w:type="dxa"/>
            <w:tcBorders/>
            <w:vAlign w:val="center"/>
          </w:tcPr>
          <w:p>
            <w:pPr>
              <w:pStyle w:val="TableContents"/>
              <w:bidi w:val="0"/>
              <w:spacing w:before="0" w:after="283"/>
              <w:jc w:val="left"/>
              <w:rPr>
                <w:color w:val="000000"/>
              </w:rPr>
            </w:pPr>
            <w:r>
              <w:rPr>
                <w:color w:val="000000"/>
              </w:rPr>
              <w:t>By:</w:t>
            </w:r>
          </w:p>
        </w:tc>
        <w:tc>
          <w:tcPr>
            <w:tcW w:w="2395" w:type="dxa"/>
            <w:gridSpan w:val="3"/>
            <w:tcBorders/>
            <w:vAlign w:val="center"/>
          </w:tcPr>
          <w:p>
            <w:pPr>
              <w:pStyle w:val="TableContents"/>
              <w:bidi w:val="0"/>
              <w:spacing w:before="0" w:after="283"/>
              <w:jc w:val="left"/>
              <w:rPr/>
            </w:pPr>
            <w:r>
              <w:rPr/>
              <w:t>/s/ Tanya Zharov</w:t>
            </w:r>
          </w:p>
        </w:tc>
      </w:tr>
      <w:tr>
        <w:trPr/>
        <w:tc>
          <w:tcPr>
            <w:tcW w:w="545"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710" w:type="dxa"/>
            <w:tcBorders>
              <w:top w:val="single" w:sz="8" w:space="0" w:color="000000"/>
            </w:tcBorders>
            <w:tcMar>
              <w:top w:w="28" w:type="dxa"/>
            </w:tcMar>
            <w:vAlign w:val="center"/>
          </w:tcPr>
          <w:p>
            <w:pPr>
              <w:pStyle w:val="TableContents"/>
              <w:bidi w:val="0"/>
              <w:spacing w:before="0" w:after="283"/>
              <w:jc w:val="left"/>
              <w:rPr/>
            </w:pPr>
            <w:r>
              <w:rPr>
                <w:color w:val="000000"/>
              </w:rPr>
              <w:t>Name:</w:t>
            </w:r>
            <w:r>
              <w:rPr/>
              <w:t> </w:t>
            </w:r>
          </w:p>
        </w:tc>
        <w:tc>
          <w:tcPr>
            <w:tcW w:w="1610" w:type="dxa"/>
            <w:tcBorders>
              <w:top w:val="single" w:sz="8" w:space="0" w:color="000000"/>
            </w:tcBorders>
            <w:tcMar>
              <w:top w:w="28" w:type="dxa"/>
            </w:tcMar>
            <w:vAlign w:val="center"/>
          </w:tcPr>
          <w:p>
            <w:pPr>
              <w:pStyle w:val="TableContents"/>
              <w:bidi w:val="0"/>
              <w:spacing w:before="0" w:after="283"/>
              <w:jc w:val="left"/>
              <w:rPr/>
            </w:pPr>
            <w:r>
              <w:rPr/>
              <w:t>Tanya Zharov</w:t>
            </w:r>
          </w:p>
        </w:tc>
        <w:tc>
          <w:tcPr>
            <w:tcW w:w="75" w:type="dxa"/>
            <w:tcBorders/>
            <w:vAlign w:val="center"/>
          </w:tcPr>
          <w:p>
            <w:pPr>
              <w:pStyle w:val="TableContents"/>
              <w:bidi w:val="0"/>
              <w:spacing w:before="0" w:after="283"/>
              <w:jc w:val="left"/>
              <w:rPr/>
            </w:pPr>
            <w:r>
              <w:rPr/>
              <w:t> </w:t>
            </w:r>
          </w:p>
        </w:tc>
      </w:tr>
      <w:tr>
        <w:trPr/>
        <w:tc>
          <w:tcPr>
            <w:tcW w:w="545"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color w:val="000000"/>
              </w:rPr>
            </w:pPr>
            <w:r>
              <w:rPr>
                <w:color w:val="000000"/>
              </w:rPr>
              <w:t>Title:</w:t>
            </w:r>
          </w:p>
        </w:tc>
        <w:tc>
          <w:tcPr>
            <w:tcW w:w="1610" w:type="dxa"/>
            <w:tcBorders/>
            <w:vAlign w:val="center"/>
          </w:tcPr>
          <w:p>
            <w:pPr>
              <w:pStyle w:val="TableContents"/>
              <w:bidi w:val="0"/>
              <w:spacing w:before="0" w:after="283"/>
              <w:jc w:val="left"/>
              <w:rPr>
                <w:color w:val="000000"/>
              </w:rPr>
            </w:pPr>
            <w:r>
              <w:rPr>
                <w:color w:val="000000"/>
              </w:rPr>
              <w:t>General Counsel</w:t>
            </w:r>
          </w:p>
        </w:tc>
        <w:tc>
          <w:tcPr>
            <w:tcW w:w="75"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 w:name="c116686_ex1-1.htm"/>
      <w:bookmarkStart w:id="3" w:name="ksc116686_ex11"/>
      <w:bookmarkEnd w:id="2"/>
      <w:bookmarkEnd w:id="3"/>
      <w:r>
        <w:rPr>
          <w:rFonts w:ascii="Times New Roman;Times;Serif" w:hAnsi="Times New Roman;Times;Serif"/>
          <w:b/>
          <w:i w:val="false"/>
          <w:caps w:val="false"/>
          <w:smallCaps w:val="false"/>
          <w:sz w:val="20"/>
        </w:rPr>
        <w:t>Exhibit 1.1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22,666,667</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Ordinary 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Alvotech</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UNDERWRITING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15, 2026</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BOFA SECURITIES, INC.</w:t>
        <w:br/>
        <w:t>JEFFERIES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EVERCORE GROUP L.L.C.</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Representatives of the several Underwriters</w:t>
        <w:br/>
        <w:br/>
        <w:t>c/o BOFA SECURITIES, INC.</w:t>
        <w:br/>
        <w:t>One Bryant Park</w:t>
        <w:br/>
        <w:t>New York, New York 10036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JEFFERIES LLC</w:t>
        <w:br/>
        <w:t>520 Madison Avenue</w:t>
        <w:br/>
        <w:t>New York, New York 10022</w:t>
        <w:br/>
        <w:br/>
        <w:t>c/o EVERCORE GROUP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 East 52nd Street, 35th Floor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10055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Introductory.</w:t>
      </w:r>
      <w:r>
        <w:rPr>
          <w:rFonts w:ascii="Times New Roman;Times;Serif" w:hAnsi="Times New Roman;Times;Serif"/>
          <w:b w:val="false"/>
          <w:i w:val="false"/>
          <w:caps w:val="false"/>
          <w:smallCaps w:val="false"/>
          <w:sz w:val="20"/>
        </w:rPr>
        <w:t xml:space="preserve"> Alvotech, a public limited liability company (</w:t>
      </w:r>
      <w:r>
        <w:rPr>
          <w:rFonts w:ascii="Times New Roman;Times;Serif" w:hAnsi="Times New Roman;Times;Serif"/>
          <w:b w:val="false"/>
          <w:i/>
          <w:caps w:val="false"/>
          <w:smallCaps w:val="false"/>
          <w:sz w:val="20"/>
        </w:rPr>
        <w:t>société anonyme</w:t>
      </w:r>
      <w:r>
        <w:rPr>
          <w:rFonts w:ascii="Times New Roman;Times;Serif" w:hAnsi="Times New Roman;Times;Serif"/>
          <w:b w:val="false"/>
          <w:i w:val="false"/>
          <w:caps w:val="false"/>
          <w:smallCaps w:val="false"/>
          <w:sz w:val="20"/>
        </w:rPr>
        <w:t>) incorporated and existing under the laws of the Grand Duchy of Luxembourg (“</w:t>
      </w:r>
      <w:r>
        <w:rPr>
          <w:rFonts w:ascii="Times New Roman;Times;Serif" w:hAnsi="Times New Roman;Times;Serif"/>
          <w:b/>
          <w:i w:val="false"/>
          <w:caps w:val="false"/>
          <w:smallCaps w:val="false"/>
          <w:sz w:val="20"/>
        </w:rPr>
        <w:t>Luxembourg</w:t>
      </w:r>
      <w:r>
        <w:rPr>
          <w:rFonts w:ascii="Times New Roman;Times;Serif" w:hAnsi="Times New Roman;Times;Serif"/>
          <w:b w:val="false"/>
          <w:i w:val="false"/>
          <w:caps w:val="false"/>
          <w:smallCaps w:val="false"/>
          <w:sz w:val="20"/>
        </w:rPr>
        <w:t>”), having its registered office at 9, rue de Bitbourg, L-1273 Luxembourg, registered with the Luxembourg Register of Commerce and Companies (</w:t>
      </w:r>
      <w:r>
        <w:rPr>
          <w:rFonts w:ascii="Times New Roman;Times;Serif" w:hAnsi="Times New Roman;Times;Serif"/>
          <w:b w:val="false"/>
          <w:i/>
          <w:caps w:val="false"/>
          <w:smallCaps w:val="false"/>
          <w:sz w:val="20"/>
        </w:rPr>
        <w:t>Registre de Commerce et des Sociétés, Luxembourg</w:t>
      </w:r>
      <w:r>
        <w:rPr>
          <w:rFonts w:ascii="Times New Roman;Times;Serif" w:hAnsi="Times New Roman;Times;Serif"/>
          <w:b w:val="false"/>
          <w:i w:val="false"/>
          <w:caps w:val="false"/>
          <w:smallCaps w:val="false"/>
          <w:sz w:val="20"/>
        </w:rPr>
        <w:t>) under number B258884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xml:space="preserve">”), proposes to issue to the several underwriters named in </w:t>
      </w:r>
      <w:r>
        <w:rPr>
          <w:rFonts w:ascii="Times New Roman;Times;Serif" w:hAnsi="Times New Roman;Times;Serif"/>
          <w:b w:val="false"/>
          <w:i w:val="false"/>
          <w:caps w:val="false"/>
          <w:smallCaps w:val="false"/>
          <w:sz w:val="20"/>
          <w:u w:val="single"/>
        </w:rPr>
        <w:t>Schedule A</w:t>
      </w:r>
      <w:r>
        <w:rPr>
          <w:rFonts w:ascii="Times New Roman;Times;Serif" w:hAnsi="Times New Roman;Times;Serif"/>
          <w:b w:val="false"/>
          <w:i w:val="false"/>
          <w:caps w:val="false"/>
          <w:smallCaps w:val="false"/>
          <w:sz w:val="20"/>
        </w:rPr>
        <w:t xml:space="preserve"> (the “</w:t>
      </w:r>
      <w:r>
        <w:rPr>
          <w:rFonts w:ascii="Times New Roman;Times;Serif" w:hAnsi="Times New Roman;Times;Serif"/>
          <w:b/>
          <w:i w:val="false"/>
          <w:caps w:val="false"/>
          <w:smallCaps w:val="false"/>
          <w:sz w:val="20"/>
        </w:rPr>
        <w:t>Underwriters</w:t>
      </w:r>
      <w:r>
        <w:rPr>
          <w:rFonts w:ascii="Times New Roman;Times;Serif" w:hAnsi="Times New Roman;Times;Serif"/>
          <w:b w:val="false"/>
          <w:i w:val="false"/>
          <w:caps w:val="false"/>
          <w:smallCaps w:val="false"/>
          <w:sz w:val="20"/>
        </w:rPr>
        <w:t>”) an aggregate of 22,666,667 of its ordinary shares, nominal value $0.01 per share (the “</w:t>
      </w:r>
      <w:r>
        <w:rPr>
          <w:rFonts w:ascii="Times New Roman;Times;Serif" w:hAnsi="Times New Roman;Times;Serif"/>
          <w:b/>
          <w:i w:val="false"/>
          <w:caps w:val="false"/>
          <w:smallCaps w:val="false"/>
          <w:sz w:val="20"/>
        </w:rPr>
        <w:t>Shares</w:t>
      </w:r>
      <w:r>
        <w:rPr>
          <w:rFonts w:ascii="Times New Roman;Times;Serif" w:hAnsi="Times New Roman;Times;Serif"/>
          <w:b w:val="false"/>
          <w:i w:val="false"/>
          <w:caps w:val="false"/>
          <w:smallCaps w:val="false"/>
          <w:sz w:val="20"/>
        </w:rPr>
        <w:t>”). The 22,666,667 Shares to be issued by the Company are called the “</w:t>
      </w:r>
      <w:r>
        <w:rPr>
          <w:rFonts w:ascii="Times New Roman;Times;Serif" w:hAnsi="Times New Roman;Times;Serif"/>
          <w:b/>
          <w:i w:val="false"/>
          <w:caps w:val="false"/>
          <w:smallCaps w:val="false"/>
          <w:sz w:val="20"/>
        </w:rPr>
        <w:t>Firm Shares</w:t>
      </w:r>
      <w:r>
        <w:rPr>
          <w:rFonts w:ascii="Times New Roman;Times;Serif" w:hAnsi="Times New Roman;Times;Serif"/>
          <w:b w:val="false"/>
          <w:i w:val="false"/>
          <w:caps w:val="false"/>
          <w:smallCaps w:val="false"/>
          <w:sz w:val="20"/>
        </w:rPr>
        <w:t>.” In addition, the Company has granted to the Underwriters an option to subscribe up to an additional 3,400,000 Shares as provided in ‎Section 2. The additional 3,400,000 Shares to be issued by the Company pursuant to such option are collectively called the “</w:t>
      </w:r>
      <w:r>
        <w:rPr>
          <w:rFonts w:ascii="Times New Roman;Times;Serif" w:hAnsi="Times New Roman;Times;Serif"/>
          <w:b/>
          <w:i w:val="false"/>
          <w:caps w:val="false"/>
          <w:smallCaps w:val="false"/>
          <w:sz w:val="20"/>
        </w:rPr>
        <w:t>Optional Shares</w:t>
      </w:r>
      <w:r>
        <w:rPr>
          <w:rFonts w:ascii="Times New Roman;Times;Serif" w:hAnsi="Times New Roman;Times;Serif"/>
          <w:b w:val="false"/>
          <w:i w:val="false"/>
          <w:caps w:val="false"/>
          <w:smallCaps w:val="false"/>
          <w:sz w:val="20"/>
        </w:rPr>
        <w:t>.” The Firm Shares and, if and to the extent such option is exercised, the Optional Shares are collectively called the “</w:t>
      </w:r>
      <w:r>
        <w:rPr>
          <w:rFonts w:ascii="Times New Roman;Times;Serif" w:hAnsi="Times New Roman;Times;Serif"/>
          <w:b/>
          <w:i w:val="false"/>
          <w:caps w:val="false"/>
          <w:smallCaps w:val="false"/>
          <w:sz w:val="20"/>
        </w:rPr>
        <w:t>Offered Shares</w:t>
      </w:r>
      <w:r>
        <w:rPr>
          <w:rFonts w:ascii="Times New Roman;Times;Serif" w:hAnsi="Times New Roman;Times;Serif"/>
          <w:b w:val="false"/>
          <w:i w:val="false"/>
          <w:caps w:val="false"/>
          <w:smallCaps w:val="false"/>
          <w:sz w:val="20"/>
        </w:rPr>
        <w:t>.” BofA Securities, Inc. (“</w:t>
      </w:r>
      <w:r>
        <w:rPr>
          <w:rFonts w:ascii="Times New Roman;Times;Serif" w:hAnsi="Times New Roman;Times;Serif"/>
          <w:b/>
          <w:i w:val="false"/>
          <w:caps w:val="false"/>
          <w:smallCaps w:val="false"/>
          <w:sz w:val="20"/>
        </w:rPr>
        <w:t>BofA</w:t>
      </w:r>
      <w:r>
        <w:rPr>
          <w:rFonts w:ascii="Times New Roman;Times;Serif" w:hAnsi="Times New Roman;Times;Serif"/>
          <w:b w:val="false"/>
          <w:i w:val="false"/>
          <w:caps w:val="false"/>
          <w:smallCaps w:val="false"/>
          <w:sz w:val="20"/>
        </w:rPr>
        <w:t>”), Jefferies LLC (“</w:t>
      </w:r>
      <w:r>
        <w:rPr>
          <w:rFonts w:ascii="Times New Roman;Times;Serif" w:hAnsi="Times New Roman;Times;Serif"/>
          <w:b/>
          <w:i w:val="false"/>
          <w:caps w:val="false"/>
          <w:smallCaps w:val="false"/>
          <w:sz w:val="20"/>
        </w:rPr>
        <w:t>Jefferies</w:t>
      </w:r>
      <w:r>
        <w:rPr>
          <w:rFonts w:ascii="Times New Roman;Times;Serif" w:hAnsi="Times New Roman;Times;Serif"/>
          <w:b w:val="false"/>
          <w:i w:val="false"/>
          <w:caps w:val="false"/>
          <w:smallCaps w:val="false"/>
          <w:sz w:val="20"/>
        </w:rPr>
        <w:t>”) and Evercore Group L.L.C. (“</w:t>
      </w:r>
      <w:r>
        <w:rPr>
          <w:rFonts w:ascii="Times New Roman;Times;Serif" w:hAnsi="Times New Roman;Times;Serif"/>
          <w:b/>
          <w:i w:val="false"/>
          <w:caps w:val="false"/>
          <w:smallCaps w:val="false"/>
          <w:sz w:val="20"/>
        </w:rPr>
        <w:t>Evercore</w:t>
      </w:r>
      <w:r>
        <w:rPr>
          <w:rFonts w:ascii="Times New Roman;Times;Serif" w:hAnsi="Times New Roman;Times;Serif"/>
          <w:b w:val="false"/>
          <w:i w:val="false"/>
          <w:caps w:val="false"/>
          <w:smallCaps w:val="false"/>
          <w:sz w:val="20"/>
        </w:rPr>
        <w:t>”) have agreed to act as representatives of the several Underwriters (collectively in such capacity, the “</w:t>
      </w:r>
      <w:r>
        <w:rPr>
          <w:rFonts w:ascii="Times New Roman;Times;Serif" w:hAnsi="Times New Roman;Times;Serif"/>
          <w:b/>
          <w:i w:val="false"/>
          <w:caps w:val="false"/>
          <w:smallCaps w:val="false"/>
          <w:sz w:val="20"/>
        </w:rPr>
        <w:t>Representatives</w:t>
      </w:r>
      <w:r>
        <w:rPr>
          <w:rFonts w:ascii="Times New Roman;Times;Serif" w:hAnsi="Times New Roman;Times;Serif"/>
          <w:b w:val="false"/>
          <w:i w:val="false"/>
          <w:caps w:val="false"/>
          <w:smallCaps w:val="false"/>
          <w:sz w:val="20"/>
        </w:rPr>
        <w:t xml:space="preserve">”) in connection with the offering and sale of the Offered Shares. To the extent there are no additional underwriters listed on </w:t>
      </w:r>
      <w:r>
        <w:rPr>
          <w:rFonts w:ascii="Times New Roman;Times;Serif" w:hAnsi="Times New Roman;Times;Serif"/>
          <w:b w:val="false"/>
          <w:i w:val="false"/>
          <w:caps w:val="false"/>
          <w:smallCaps w:val="false"/>
          <w:sz w:val="20"/>
          <w:u w:val="single"/>
        </w:rPr>
        <w:t>Schedule A</w:t>
      </w:r>
      <w:r>
        <w:rPr>
          <w:rFonts w:ascii="Times New Roman;Times;Serif" w:hAnsi="Times New Roman;Times;Serif"/>
          <w:b w:val="false"/>
          <w:i w:val="false"/>
          <w:caps w:val="false"/>
          <w:smallCaps w:val="false"/>
          <w:sz w:val="20"/>
        </w:rPr>
        <w:t>, the term “Representatives” as used herein shall mean you, as Underwriters, and the term “Underwriters” shall mean either the singular or the plural, as the context requires.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prepared and filed with the Securities and Exchange Commission (the “</w:t>
      </w:r>
      <w:r>
        <w:rPr>
          <w:rFonts w:ascii="Times New Roman;Times;Serif" w:hAnsi="Times New Roman;Times;Serif"/>
          <w:b/>
          <w:i w:val="false"/>
          <w:caps w:val="false"/>
          <w:smallCaps w:val="false"/>
          <w:sz w:val="20"/>
        </w:rPr>
        <w:t>Commission</w:t>
      </w:r>
      <w:r>
        <w:rPr>
          <w:rFonts w:ascii="Times New Roman;Times;Serif" w:hAnsi="Times New Roman;Times;Serif"/>
          <w:b w:val="false"/>
          <w:i w:val="false"/>
          <w:caps w:val="false"/>
          <w:smallCaps w:val="false"/>
          <w:sz w:val="20"/>
        </w:rPr>
        <w:t>”) a shelf registration statement on Form F-3 (File No. 333-275111), including a base prospectus (the “</w:t>
      </w:r>
      <w:r>
        <w:rPr>
          <w:rFonts w:ascii="Times New Roman;Times;Serif" w:hAnsi="Times New Roman;Times;Serif"/>
          <w:b/>
          <w:i w:val="false"/>
          <w:caps w:val="false"/>
          <w:smallCaps w:val="false"/>
          <w:sz w:val="20"/>
        </w:rPr>
        <w:t>Base Prospectus</w:t>
      </w:r>
      <w:r>
        <w:rPr>
          <w:rFonts w:ascii="Times New Roman;Times;Serif" w:hAnsi="Times New Roman;Times;Serif"/>
          <w:b w:val="false"/>
          <w:i w:val="false"/>
          <w:caps w:val="false"/>
          <w:smallCaps w:val="false"/>
          <w:sz w:val="20"/>
        </w:rPr>
        <w:t>”) to be used in connection with the public offering and issuance of the Offered Shares. Such registration statement, as amended, including the financial statements, exhibits and schedules thereto, in the form in which it became effective under the Securities Act of 1933, as amended,</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the rules and regulations promulgated thereunder (collectively, the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including all documents incorporated or deemed to be incorporated by reference therein and any information deemed to be a part thereof at the time of effectiveness pursuant to Rule 430B under the Securities Act, is called the “</w:t>
      </w:r>
      <w:r>
        <w:rPr>
          <w:rFonts w:ascii="Times New Roman;Times;Serif" w:hAnsi="Times New Roman;Times;Serif"/>
          <w:b/>
          <w:i w:val="false"/>
          <w:caps w:val="false"/>
          <w:smallCaps w:val="false"/>
          <w:sz w:val="20"/>
        </w:rPr>
        <w:t>Registration Statement</w:t>
      </w:r>
      <w:r>
        <w:rPr>
          <w:rFonts w:ascii="Times New Roman;Times;Serif" w:hAnsi="Times New Roman;Times;Serif"/>
          <w:b w:val="false"/>
          <w:i w:val="false"/>
          <w:caps w:val="false"/>
          <w:smallCaps w:val="false"/>
          <w:sz w:val="20"/>
        </w:rPr>
        <w:t>.” Any registration statement filed by the Company pursuant to Rule 462(b) under the Securities Act in connection with the offer and sale of the Offered Shares is called the “</w:t>
      </w:r>
      <w:r>
        <w:rPr>
          <w:rFonts w:ascii="Times New Roman;Times;Serif" w:hAnsi="Times New Roman;Times;Serif"/>
          <w:b/>
          <w:i w:val="false"/>
          <w:caps w:val="false"/>
          <w:smallCaps w:val="false"/>
          <w:sz w:val="20"/>
        </w:rPr>
        <w:t>Rule 462(b) Registration Statement</w:t>
      </w:r>
      <w:r>
        <w:rPr>
          <w:rFonts w:ascii="Times New Roman;Times;Serif" w:hAnsi="Times New Roman;Times;Serif"/>
          <w:b w:val="false"/>
          <w:i w:val="false"/>
          <w:caps w:val="false"/>
          <w:smallCaps w:val="false"/>
          <w:sz w:val="20"/>
        </w:rPr>
        <w:t>,” and from and after the date and time of filing of any such Rule 462(b) Registration Statement the term “Registration Statement” shall include the Rule 462(b) Registration Statement. The preliminary prospectus supplement dated June 15, 2026 describing the Offered Shares and the offering thereof (the “</w:t>
      </w:r>
      <w:r>
        <w:rPr>
          <w:rFonts w:ascii="Times New Roman;Times;Serif" w:hAnsi="Times New Roman;Times;Serif"/>
          <w:b/>
          <w:i w:val="false"/>
          <w:caps w:val="false"/>
          <w:smallCaps w:val="false"/>
          <w:sz w:val="20"/>
        </w:rPr>
        <w:t>Preliminary Prospectus Supplement</w:t>
      </w:r>
      <w:r>
        <w:rPr>
          <w:rFonts w:ascii="Times New Roman;Times;Serif" w:hAnsi="Times New Roman;Times;Serif"/>
          <w:b w:val="false"/>
          <w:i w:val="false"/>
          <w:caps w:val="false"/>
          <w:smallCaps w:val="false"/>
          <w:sz w:val="20"/>
        </w:rPr>
        <w:t>”), together with the Base Prospectus, is called the “</w:t>
      </w:r>
      <w:r>
        <w:rPr>
          <w:rFonts w:ascii="Times New Roman;Times;Serif" w:hAnsi="Times New Roman;Times;Serif"/>
          <w:b/>
          <w:i w:val="false"/>
          <w:caps w:val="false"/>
          <w:smallCaps w:val="false"/>
          <w:sz w:val="20"/>
        </w:rPr>
        <w:t>Preliminary Prospectus</w:t>
      </w:r>
      <w:r>
        <w:rPr>
          <w:rFonts w:ascii="Times New Roman;Times;Serif" w:hAnsi="Times New Roman;Times;Serif"/>
          <w:b w:val="false"/>
          <w:i w:val="false"/>
          <w:caps w:val="false"/>
          <w:smallCaps w:val="false"/>
          <w:sz w:val="20"/>
        </w:rPr>
        <w:t>,” and the Preliminary Prospectus and any other prospectus supplement to the Base Prospectus in preliminary form that describes the Offered Shares and the offering thereof and is used prior to the filing of the Prospectus (as defined below), together with the Base Prospectus, is called a “</w:t>
      </w:r>
      <w:r>
        <w:rPr>
          <w:rFonts w:ascii="Times New Roman;Times;Serif" w:hAnsi="Times New Roman;Times;Serif"/>
          <w:b/>
          <w:i w:val="false"/>
          <w:caps w:val="false"/>
          <w:smallCaps w:val="false"/>
          <w:sz w:val="20"/>
        </w:rPr>
        <w:t>preliminary prospectus</w:t>
      </w:r>
      <w:r>
        <w:rPr>
          <w:rFonts w:ascii="Times New Roman;Times;Serif" w:hAnsi="Times New Roman;Times;Serif"/>
          <w:b w:val="false"/>
          <w:i w:val="false"/>
          <w:caps w:val="false"/>
          <w:smallCaps w:val="false"/>
          <w:sz w:val="20"/>
        </w:rPr>
        <w:t>.” As used herein, the term “</w:t>
      </w:r>
      <w:r>
        <w:rPr>
          <w:rFonts w:ascii="Times New Roman;Times;Serif" w:hAnsi="Times New Roman;Times;Serif"/>
          <w:b/>
          <w:i w:val="false"/>
          <w:caps w:val="false"/>
          <w:smallCaps w:val="false"/>
          <w:sz w:val="20"/>
        </w:rPr>
        <w:t>Prospectus</w:t>
      </w:r>
      <w:r>
        <w:rPr>
          <w:rFonts w:ascii="Times New Roman;Times;Serif" w:hAnsi="Times New Roman;Times;Serif"/>
          <w:b w:val="false"/>
          <w:i w:val="false"/>
          <w:caps w:val="false"/>
          <w:smallCaps w:val="false"/>
          <w:sz w:val="20"/>
        </w:rPr>
        <w:t>” shall mean the final prospectus supplement to the Base Prospectus that describes the Offered Shares and the offering thereof (the “</w:t>
      </w:r>
      <w:r>
        <w:rPr>
          <w:rFonts w:ascii="Times New Roman;Times;Serif" w:hAnsi="Times New Roman;Times;Serif"/>
          <w:b/>
          <w:i w:val="false"/>
          <w:caps w:val="false"/>
          <w:smallCaps w:val="false"/>
          <w:sz w:val="20"/>
        </w:rPr>
        <w:t>Final Prospectus Supplement</w:t>
      </w:r>
      <w:r>
        <w:rPr>
          <w:rFonts w:ascii="Times New Roman;Times;Serif" w:hAnsi="Times New Roman;Times;Serif"/>
          <w:b w:val="false"/>
          <w:i w:val="false"/>
          <w:caps w:val="false"/>
          <w:smallCaps w:val="false"/>
          <w:sz w:val="20"/>
        </w:rPr>
        <w:t>”), together with the Base Prospectus, in the form first used by the Underwriters to confirm sales of the Offered Shares or in the form first made available to the Underwriters by the Company to meet requests of purchasers pursuant to Rule 173 under the Securities Act. References herein to the Preliminary Prospectus, any preliminary prospectus and the Prospectus shall refer to both the prospectus supplement and the Base Prospectus components of such prospectus. As used herein, “</w:t>
      </w:r>
      <w:r>
        <w:rPr>
          <w:rFonts w:ascii="Times New Roman;Times;Serif" w:hAnsi="Times New Roman;Times;Serif"/>
          <w:b/>
          <w:i w:val="false"/>
          <w:caps w:val="false"/>
          <w:smallCaps w:val="false"/>
          <w:sz w:val="20"/>
        </w:rPr>
        <w:t>Applicable Time</w:t>
      </w:r>
      <w:r>
        <w:rPr>
          <w:rFonts w:ascii="Times New Roman;Times;Serif" w:hAnsi="Times New Roman;Times;Serif"/>
          <w:b w:val="false"/>
          <w:i w:val="false"/>
          <w:caps w:val="false"/>
          <w:smallCaps w:val="false"/>
          <w:sz w:val="20"/>
        </w:rPr>
        <w:t>” is 9:15 p.m. (New York City time) on June 15, 2026. As used herein, “</w:t>
      </w:r>
      <w:r>
        <w:rPr>
          <w:rFonts w:ascii="Times New Roman;Times;Serif" w:hAnsi="Times New Roman;Times;Serif"/>
          <w:b/>
          <w:i w:val="false"/>
          <w:caps w:val="false"/>
          <w:smallCaps w:val="false"/>
          <w:sz w:val="20"/>
        </w:rPr>
        <w:t>free writing prospectus</w:t>
      </w:r>
      <w:r>
        <w:rPr>
          <w:rFonts w:ascii="Times New Roman;Times;Serif" w:hAnsi="Times New Roman;Times;Serif"/>
          <w:b w:val="false"/>
          <w:i w:val="false"/>
          <w:caps w:val="false"/>
          <w:smallCaps w:val="false"/>
          <w:sz w:val="20"/>
        </w:rPr>
        <w:t>” has the meaning set forth in Rule 405 under the Securities Act, and “</w:t>
      </w:r>
      <w:r>
        <w:rPr>
          <w:rFonts w:ascii="Times New Roman;Times;Serif" w:hAnsi="Times New Roman;Times;Serif"/>
          <w:b/>
          <w:i w:val="false"/>
          <w:caps w:val="false"/>
          <w:smallCaps w:val="false"/>
          <w:sz w:val="20"/>
        </w:rPr>
        <w:t>Time of Sale Prospectus</w:t>
      </w:r>
      <w:r>
        <w:rPr>
          <w:rFonts w:ascii="Times New Roman;Times;Serif" w:hAnsi="Times New Roman;Times;Serif"/>
          <w:b w:val="false"/>
          <w:i w:val="false"/>
          <w:caps w:val="false"/>
          <w:smallCaps w:val="false"/>
          <w:sz w:val="20"/>
        </w:rPr>
        <w:t xml:space="preserve">” means the Preliminary Prospectus, as amended or supplemented immediately prior to the Applicable Time, together with the free writing prospectuses, if any, identified in </w:t>
      </w:r>
      <w:r>
        <w:rPr>
          <w:rFonts w:ascii="Times New Roman;Times;Serif" w:hAnsi="Times New Roman;Times;Serif"/>
          <w:b w:val="false"/>
          <w:i w:val="false"/>
          <w:caps w:val="false"/>
          <w:smallCaps w:val="false"/>
          <w:sz w:val="20"/>
          <w:u w:val="single"/>
        </w:rPr>
        <w:t>Schedule C</w:t>
      </w:r>
      <w:r>
        <w:rPr>
          <w:rFonts w:ascii="Times New Roman;Times;Serif" w:hAnsi="Times New Roman;Times;Serif"/>
          <w:b w:val="false"/>
          <w:i w:val="false"/>
          <w:caps w:val="false"/>
          <w:smallCaps w:val="false"/>
          <w:sz w:val="20"/>
        </w:rPr>
        <w:t xml:space="preserve"> hereto. As used herein, “</w:t>
      </w:r>
      <w:r>
        <w:rPr>
          <w:rFonts w:ascii="Times New Roman;Times;Serif" w:hAnsi="Times New Roman;Times;Serif"/>
          <w:b/>
          <w:i w:val="false"/>
          <w:caps w:val="false"/>
          <w:smallCaps w:val="false"/>
          <w:sz w:val="20"/>
        </w:rPr>
        <w:t>Road Show”</w:t>
      </w:r>
      <w:r>
        <w:rPr>
          <w:rFonts w:ascii="Times New Roman;Times;Serif" w:hAnsi="Times New Roman;Times;Serif"/>
          <w:b w:val="false"/>
          <w:i w:val="false"/>
          <w:caps w:val="false"/>
          <w:smallCaps w:val="false"/>
          <w:sz w:val="20"/>
        </w:rPr>
        <w:t xml:space="preserve"> means a “bona fide electronic road show” (as defined in Rule 433 under the Securities Act) relating to the offering of the Offered Shares contemplated hereby that is a “written communication” (as defined in Rule 405 under the Securities Act). As used herein, “</w:t>
      </w:r>
      <w:r>
        <w:rPr>
          <w:rFonts w:ascii="Times New Roman;Times;Serif" w:hAnsi="Times New Roman;Times;Serif"/>
          <w:b/>
          <w:i w:val="false"/>
          <w:caps w:val="false"/>
          <w:smallCaps w:val="false"/>
          <w:sz w:val="20"/>
        </w:rPr>
        <w:t>Section 5(d) Written Communication</w:t>
      </w:r>
      <w:r>
        <w:rPr>
          <w:rFonts w:ascii="Times New Roman;Times;Serif" w:hAnsi="Times New Roman;Times;Serif"/>
          <w:b w:val="false"/>
          <w:i w:val="false"/>
          <w:caps w:val="false"/>
          <w:smallCaps w:val="false"/>
          <w:sz w:val="20"/>
        </w:rPr>
        <w:t>” means each written communication (within the meaning of Rule 405 under the Securities Act) that is made in reliance on Section 5(d) of the Securities Act by the Company or any person authorized to act on behalf of the Company to one or more potential investors that are qualified institutional buyers (“</w:t>
      </w:r>
      <w:r>
        <w:rPr>
          <w:rFonts w:ascii="Times New Roman;Times;Serif" w:hAnsi="Times New Roman;Times;Serif"/>
          <w:b/>
          <w:i w:val="false"/>
          <w:caps w:val="false"/>
          <w:smallCaps w:val="false"/>
          <w:sz w:val="20"/>
        </w:rPr>
        <w:t>QIBs</w:t>
      </w:r>
      <w:r>
        <w:rPr>
          <w:rFonts w:ascii="Times New Roman;Times;Serif" w:hAnsi="Times New Roman;Times;Serif"/>
          <w:b w:val="false"/>
          <w:i w:val="false"/>
          <w:caps w:val="false"/>
          <w:smallCaps w:val="false"/>
          <w:sz w:val="20"/>
        </w:rPr>
        <w:t>”) and/or institutions that are accredited investors (“</w:t>
      </w:r>
      <w:r>
        <w:rPr>
          <w:rFonts w:ascii="Times New Roman;Times;Serif" w:hAnsi="Times New Roman;Times;Serif"/>
          <w:b/>
          <w:i w:val="false"/>
          <w:caps w:val="false"/>
          <w:smallCaps w:val="false"/>
          <w:sz w:val="20"/>
        </w:rPr>
        <w:t>IAIs</w:t>
      </w:r>
      <w:r>
        <w:rPr>
          <w:rFonts w:ascii="Times New Roman;Times;Serif" w:hAnsi="Times New Roman;Times;Serif"/>
          <w:b w:val="false"/>
          <w:i w:val="false"/>
          <w:caps w:val="false"/>
          <w:smallCaps w:val="false"/>
          <w:sz w:val="20"/>
        </w:rPr>
        <w:t>”), as such terms are respectively defined in Rule 144A and Rule 501(a) under the Securities Act, to determine whether such investors might have an interest in the offering of the Offered Shares; “</w:t>
      </w:r>
      <w:r>
        <w:rPr>
          <w:rFonts w:ascii="Times New Roman;Times;Serif" w:hAnsi="Times New Roman;Times;Serif"/>
          <w:b/>
          <w:i w:val="false"/>
          <w:caps w:val="false"/>
          <w:smallCaps w:val="false"/>
          <w:sz w:val="20"/>
        </w:rPr>
        <w:t>Section 5(d) Oral Communication</w:t>
      </w:r>
      <w:r>
        <w:rPr>
          <w:rFonts w:ascii="Times New Roman;Times;Serif" w:hAnsi="Times New Roman;Times;Serif"/>
          <w:b w:val="false"/>
          <w:i w:val="false"/>
          <w:caps w:val="false"/>
          <w:smallCaps w:val="false"/>
          <w:sz w:val="20"/>
        </w:rPr>
        <w:t>” means each oral communication, if any, made in reliance on Section 5(d) of the Securities Act by the Company or any person authorized to act on behalf of the Company made to one or more QIBs and/or one or more IAIs to determine whether such investors might have an interest in the offering of the Offered Shares; “</w:t>
      </w:r>
      <w:r>
        <w:rPr>
          <w:rFonts w:ascii="Times New Roman;Times;Serif" w:hAnsi="Times New Roman;Times;Serif"/>
          <w:b/>
          <w:i w:val="false"/>
          <w:caps w:val="false"/>
          <w:smallCaps w:val="false"/>
          <w:sz w:val="20"/>
        </w:rPr>
        <w:t>Marketing Materials</w:t>
      </w:r>
      <w:r>
        <w:rPr>
          <w:rFonts w:ascii="Times New Roman;Times;Serif" w:hAnsi="Times New Roman;Times;Serif"/>
          <w:b w:val="false"/>
          <w:i w:val="false"/>
          <w:caps w:val="false"/>
          <w:smallCaps w:val="false"/>
          <w:sz w:val="20"/>
        </w:rPr>
        <w:t>” means any materials or information provided to investors by, or with the approval of, the Company in connection with the marketing of the offering of the Offered Shares, including any roadshow or investor presentations made to investors by the Company (whether in person or electronically); and “</w:t>
      </w:r>
      <w:r>
        <w:rPr>
          <w:rFonts w:ascii="Times New Roman;Times;Serif" w:hAnsi="Times New Roman;Times;Serif"/>
          <w:b/>
          <w:i w:val="false"/>
          <w:caps w:val="false"/>
          <w:smallCaps w:val="false"/>
          <w:sz w:val="20"/>
        </w:rPr>
        <w:t>Permitted Section 5(d) Communication</w:t>
      </w:r>
      <w:r>
        <w:rPr>
          <w:rFonts w:ascii="Times New Roman;Times;Serif" w:hAnsi="Times New Roman;Times;Serif"/>
          <w:b w:val="false"/>
          <w:i w:val="false"/>
          <w:caps w:val="false"/>
          <w:smallCaps w:val="false"/>
          <w:sz w:val="20"/>
        </w:rPr>
        <w:t xml:space="preserve">” means the Section 5(d) Written Communication(s) and Marketing Materials listed on </w:t>
      </w:r>
      <w:r>
        <w:rPr>
          <w:rFonts w:ascii="Times New Roman;Times;Serif" w:hAnsi="Times New Roman;Times;Serif"/>
          <w:b w:val="false"/>
          <w:i w:val="false"/>
          <w:caps w:val="false"/>
          <w:smallCaps w:val="false"/>
          <w:sz w:val="20"/>
          <w:u w:val="single"/>
        </w:rPr>
        <w:t>Schedule B</w:t>
      </w:r>
      <w:r>
        <w:rPr>
          <w:rFonts w:ascii="Times New Roman;Times;Serif" w:hAnsi="Times New Roman;Times;Serif"/>
          <w:b w:val="false"/>
          <w:i w:val="false"/>
          <w:caps w:val="false"/>
          <w:smallCaps w:val="false"/>
          <w:sz w:val="20"/>
        </w:rPr>
        <w:t xml:space="preserve"> attached hereto.</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All references in this Agreement to the Registration Statement, the Preliminary Prospectus, any preliminary prospectus, the Base Prospectus and the Prospectus shall include the documents incorporated or deemed to be incorporated by reference therein. All references in this Agreement to financial statements and schedules and other information which are “contained,” “included” or “stated” in, or “part of” the Registration Statement, the Rule 462(b) Registration Statement, the Preliminary Prospectus, any preliminary prospectus, the Base Prospectus, the Time of Sale Prospectus or the Prospectus, and all other references of like import, shall be deemed to mean and include all such financial statements and schedules and other information which is or is deemed to be incorporated by reference in the Registration Statement, the Rule 462(b) Registration Statement, the Preliminary Prospectus, any preliminary prospectus, the Base Prospectus, the Time of Sale Prospectus or the Prospectus, as the case may be. All references in this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Agreement to amendments or supplements to the Registration Statement, the Preliminary Prospectus, any preliminary prospectus, the Base Prospectus, the Time of Sale Prospectus or the Prospectus shall be deemed to mean and include the filing of any document under the Securities Exchange Act of 1934, as amended, and the rules and regulations promulgated thereunder (collectively, the “</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that is or is deemed to be incorporated by reference in the Registration Statement, the Preliminary Prospectus, any preliminary prospectus, the Base Prospectus, or the Prospectus, as the case may be. All references in this Agreement to (i) the Registration Statement, the Preliminary Prospectus, any preliminary prospectus, the Base Prospectus or the Prospectus or any amendments or supplements to any of the foregoing, or any free writing prospectus, shall include any copy thereof filed with the Commission pursuant to its Electronic Data Gathering, Analysis and Retrieval System (“</w:t>
      </w:r>
      <w:r>
        <w:rPr>
          <w:rFonts w:ascii="Times New Roman;Times;Serif" w:hAnsi="Times New Roman;Times;Serif"/>
          <w:b/>
          <w:i w:val="false"/>
          <w:caps w:val="false"/>
          <w:smallCaps w:val="false"/>
          <w:sz w:val="20"/>
        </w:rPr>
        <w:t>EDGAR</w:t>
      </w:r>
      <w:r>
        <w:rPr>
          <w:rFonts w:ascii="Times New Roman;Times;Serif" w:hAnsi="Times New Roman;Times;Serif"/>
          <w:b w:val="false"/>
          <w:i w:val="false"/>
          <w:caps w:val="false"/>
          <w:smallCaps w:val="false"/>
          <w:sz w:val="20"/>
        </w:rPr>
        <w:t>”) and (ii) the Prospectus shall be deemed to include any “electronic Prospectus” provided for use in connection with the offering of the Offered Shares as contemplated by Section 3(m) of this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hereby confirms its agreements with the Underwriters as follows: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w:t>
        <w:tab/>
        <w:t>Representations and Warranties of the Company.</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hereby represents, warrants and covenants to each Underwriter, as of the date of this Agreement, as of the First Closing Date (as defined in ‎Section 2) and as of each Option Closing Date (as defined in ‎Section 2), if any, as follows: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w:t>
        <w:tab/>
      </w:r>
      <w:r>
        <w:rPr>
          <w:rFonts w:ascii="Times New Roman;Times;Serif" w:hAnsi="Times New Roman;Times;Serif"/>
          <w:b/>
          <w:i/>
          <w:caps w:val="false"/>
          <w:smallCaps w:val="false"/>
          <w:sz w:val="20"/>
        </w:rPr>
        <w:t>Compliance with Registration Requirements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Registration Statement has become effective by the Commission under the Securities Act. The Company has complied, to the Commission’s satisfaction, with all requests of the Commission for additional or supplemental information, if any. No stop order suspending the effectiveness of the Registration Statement is in effect and no proceedings for such purpose have been instituted or are pending or, to the knowledge of the Company, are contemplated or threatened by the Commission. At the time the Registration Statement was declared effective by the Commission, the Company met the then-applicable requirements for use of Form F-3 under the Securities Act, including General Instruction B.1. The Company meets the requirements for use of Form F-3 under the Securities Act specified in FINRA Conduct Rule 5110(h)(1)(C). The Company is a “foreign private issuer” within the meaning of Rule 405 under the Securities Act.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preliminary prospectus and the Prospectus when filed complied in all material respects with the Securities Act and, if filed with the Commission through EDGAR, was identical (except as may be permitted by Regulation S-T under the Securities Act) to the copy thereof delivered to the Underwriters for use in connection with the issuance and sale of the Offered Shares. Each of the Registration Statement and any post-effective amendment thereto, at the time it became or becomes effective, complied and will comply in all material respects with the Securities Act and did not and will not contain any untrue statement of a material fact or omit to state a material fact required to be stated therein or necessary to make the statements therein not misleading. As of the Applicable Time, the Time of Sale Prospectus did not, and at the First Closing Date and at each applicable Option Closing Date, will not, contain any untrue statement of a material fact or omit to state a material fact necessary to make the statements therein, in the light of the circumstances under which they were made, not misleading. The Prospectus, as amended or supplemented, as of its date, did not, and at the First Closing Date and at each applicable Option Closing Date, will not, contain any untrue statement of a material fact or omit to state a material fact necessary in order to make the statements therein, in the light of the circumstances under which they were made, not misleading. The representations and warranties set forth in the three immediately preceding sentences do not apply to statements in or omissions from the Registration Statement or any post-effective amendment thereto, or the Prospectus, or any amendments or supplements thereto, or the Time of Sale Prospectus, or any amendments or supplements thereto, made in reliance upon and in conformity with written information relating to any Underwriter furnished to the Company in writing by the Representatives</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expressly for use therein, it being understood and agreed that the only such written information furnished by the Underwriters to the Company consists of the information described in ‎Section 9(b) below. There are no contracts or other documents required to be described in the Time of Sale Prospectus or the Prospectus or to be filed as exhibits to the Registration Statement which have not been described or filed as required. The Registration Statement and the offer and sale of the Offered Shares as contemplated hereby meet the requirements of Rule 415 under the Securities Act and comply in all material respects with said rule.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w:t>
        <w:tab/>
      </w:r>
      <w:r>
        <w:rPr>
          <w:rFonts w:ascii="Times New Roman;Times;Serif" w:hAnsi="Times New Roman;Times;Serif"/>
          <w:b/>
          <w:i/>
          <w:caps w:val="false"/>
          <w:smallCaps w:val="false"/>
          <w:sz w:val="20"/>
        </w:rPr>
        <w:t>Incorporated Documents.</w:t>
      </w:r>
      <w:r>
        <w:rPr>
          <w:rFonts w:ascii="Times New Roman;Times;Serif" w:hAnsi="Times New Roman;Times;Serif"/>
          <w:b w:val="false"/>
          <w:i w:val="false"/>
          <w:caps w:val="false"/>
          <w:smallCaps w:val="false"/>
          <w:sz w:val="20"/>
        </w:rPr>
        <w:t xml:space="preserve"> The documents incorporated or deemed to be incorporated by reference in the Registration Statement, the Time of Sale Prospectus and the Prospectus, at the time they were or hereafter are filed with the Commission, or became effective under the Exchange Act, as the case may be, complied and will comply in all material respects with the requirements of the Exchange Act, as applicable, and, when read together with the other information in the Time of Sale Prospectus and the Prospectus at the time the Registration Statement and any amendments thereto became effective and the Applicable Time, as the case may be, did not or will not contain an untrue statement of a material fact or omit to state a material fact required to be stated therein or necessary to make the statements therein, in light of the circumstances under which they were made, not misleading.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w:t>
        <w:tab/>
      </w:r>
      <w:r>
        <w:rPr>
          <w:rFonts w:ascii="Times New Roman;Times;Serif" w:hAnsi="Times New Roman;Times;Serif"/>
          <w:b/>
          <w:i/>
          <w:caps w:val="false"/>
          <w:smallCaps w:val="false"/>
          <w:sz w:val="20"/>
        </w:rPr>
        <w:t>Free Writing Prospectuses; Road Show</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As of the determination date referenced in Rule 164(h) under the Securities Act, the Company was not, is not or will not be (as applicable) an “ineligible issuer” in connection with the offering of the Offered Shares pursuant to Rules 164, 405 and 433 under the Securities Act. Each free writing prospectus that the Company is required to file pursuant to Rule 433(d) under the Securities Act has been, or will be, filed with the Commission in accordance with the requirements of the Securities Act. Each free writing prospectus that the Company has filed, or is required to file, pursuant to Rule 433(d) under the Securities Act or that was prepared by or on behalf of or used or referred to by the Company complies or will comply in all material respects with the requirements of Rule 433 under the Securities Act, including timely filing with the Commission, retention and legending, as applicable, and each such free writing prospectus, as of its issue date and at all subsequent times through the completion of the public offer and sale of the Offered Shares did not, does not and will not include any information that conflicted, conflicts or will conflict with the information contained in the Registration Statement, the Prospectus or any preliminary prospectus unless such information has been superseded or modified as of such time. Except for the free writing prospectuses, if any, identified in </w:t>
      </w:r>
      <w:r>
        <w:rPr>
          <w:rFonts w:ascii="Times New Roman;Times;Serif" w:hAnsi="Times New Roman;Times;Serif"/>
          <w:b w:val="false"/>
          <w:i w:val="false"/>
          <w:caps w:val="false"/>
          <w:smallCaps w:val="false"/>
          <w:sz w:val="20"/>
          <w:u w:val="single"/>
        </w:rPr>
        <w:t>Schedule C</w:t>
      </w:r>
      <w:r>
        <w:rPr>
          <w:rFonts w:ascii="Times New Roman;Times;Serif" w:hAnsi="Times New Roman;Times;Serif"/>
          <w:b w:val="false"/>
          <w:i w:val="false"/>
          <w:caps w:val="false"/>
          <w:smallCaps w:val="false"/>
          <w:sz w:val="20"/>
        </w:rPr>
        <w:t>, and electronic road shows, if any, furnished to you before first use, the Company has not prepared, used or referred to, and will not, without your prior written consent, prepare, use or refer to, any free writing prospectus. Each Road Show, when considered together with the Time of Sale Prospectus, did not, as of the Applicable Time, contain any untrue statement of a material fact or omit to state a material fact necessary to make the statements therein, in the light of the circumstances under which they were made, not misleading.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w:t>
        <w:tab/>
      </w:r>
      <w:r>
        <w:rPr>
          <w:rFonts w:ascii="Times New Roman;Times;Serif" w:hAnsi="Times New Roman;Times;Serif"/>
          <w:b/>
          <w:i/>
          <w:caps w:val="false"/>
          <w:smallCaps w:val="false"/>
          <w:sz w:val="20"/>
        </w:rPr>
        <w:t>Distribution of Offering Material By the Company</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Prior to the later of (i) the expiration or termination of the option granted to the several Underwriters in ‎Section 2 and (ii) the completion of the Underwriters’ distribution of the Offered Shares, the Company has not distributed and will not distribute any offering material in connection with the offering and sale of the Offered Shares other than the Registration Statement, the Time of Sale Prospectus, the Prospectus or any free writing prospectus reviewed and consented to by the Representatives, the free writing prospectuses, if any, identified on </w:t>
      </w:r>
      <w:r>
        <w:rPr>
          <w:rFonts w:ascii="Times New Roman;Times;Serif" w:hAnsi="Times New Roman;Times;Serif"/>
          <w:b w:val="false"/>
          <w:i w:val="false"/>
          <w:caps w:val="false"/>
          <w:smallCaps w:val="false"/>
          <w:sz w:val="20"/>
          <w:u w:val="single"/>
        </w:rPr>
        <w:t>Schedule C</w:t>
      </w:r>
      <w:r>
        <w:rPr>
          <w:rFonts w:ascii="Times New Roman;Times;Serif" w:hAnsi="Times New Roman;Times;Serif"/>
          <w:b w:val="false"/>
          <w:i w:val="false"/>
          <w:caps w:val="false"/>
          <w:smallCaps w:val="false"/>
          <w:sz w:val="20"/>
        </w:rPr>
        <w:t xml:space="preserve"> hereto and any Permitted Section 5(d) Communications.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w:t>
        <w:tab/>
      </w:r>
      <w:r>
        <w:rPr>
          <w:rFonts w:ascii="Times New Roman;Times;Serif" w:hAnsi="Times New Roman;Times;Serif"/>
          <w:b/>
          <w:i/>
          <w:caps w:val="false"/>
          <w:smallCaps w:val="false"/>
          <w:sz w:val="20"/>
        </w:rPr>
        <w:t>Statistical and Market-Related Data</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All statistical, demographic and market-related data included in the Registration Statement, the Time of Sale Prospectus or the Prospectus are based on or derived from sources that the Company believes, after reasonable inquiry, to be reliable and accurate. To the extent required, the Company has obtained the written consent for the use of such data from such sources.</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w:t>
        <w:tab/>
      </w:r>
      <w:r>
        <w:rPr>
          <w:rFonts w:ascii="Times New Roman;Times;Serif" w:hAnsi="Times New Roman;Times;Serif"/>
          <w:b/>
          <w:i/>
          <w:caps w:val="false"/>
          <w:smallCaps w:val="false"/>
          <w:sz w:val="20"/>
        </w:rPr>
        <w:t>Disclosure Controls and Procedures; Deficiencies in or Changes to Internal Control Over Financial Reporting</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Company has established and maintains disclosure controls and procedures (as defined in Rules 13a-15 and 15d-15 under the Exchange Act), which (i) are designed to ensure that material information relating to the Company, including its consolidated subsidiaries, is made known to the Company’s principal executive officer and its principal financial officer by others within those entities, particularly during the periods in which the periodic reports required under the Exchange Act are being prepared; (ii) have been evaluated by management of the Company for effectiveness as of the end of the Company’s most recent fiscal year; and (iii) except as disclosed in the Registration Statement and the Prospectus, are effective in all material respects to perform the functions for which they were established. Except as disclosed in the Registration Statement, the Time of Sale Prospectus and the Prospectus, since the end of the Company’s most recent audited fiscal year, there have been no significant deficiencies or material weaknesses in the Company’s internal control over financial reporting (whether or not remediated) and no change in the Company’s internal control over financial reporting that has materially affected, or is reasonably likely to materially affect, the Company’s internal control over financial reporting. The Company is not aware of any change in its internal control over financial reporting that has occurred since the end of the Company’s most recent audited fiscal year that has materially affected, or is reasonably likely to materially affect, the Company’s internal control over financial reporting.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w:t>
        <w:tab/>
      </w:r>
      <w:r>
        <w:rPr>
          <w:rFonts w:ascii="Times New Roman;Times;Serif" w:hAnsi="Times New Roman;Times;Serif"/>
          <w:b/>
          <w:i/>
          <w:caps w:val="false"/>
          <w:smallCaps w:val="false"/>
          <w:sz w:val="20"/>
        </w:rPr>
        <w:t>The Underwriting Agreement</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This Agreement has been duly authorized, executed and delivered by the Company.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(h)</w:t>
        <w:tab/>
      </w:r>
      <w:r>
        <w:rPr>
          <w:rFonts w:ascii="Times New Roman;Times;Serif" w:hAnsi="Times New Roman;Times;Serif"/>
          <w:b/>
          <w:i/>
          <w:caps w:val="false"/>
          <w:smallCaps w:val="false"/>
          <w:sz w:val="20"/>
        </w:rPr>
        <w:t>Authorization of the Offered Shares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Offered Shares have been duly authorized for issuance and sale pursuant to this Agreement and, when issued and delivered by the Company against full payment therefor pursuant to this Agreement, will be validly issued, fully paid and nonassessable (meaning that the holder of such Offered Shares shall not be liable, solely because of its shareholder status, for additional payments to the Company or the Company’s creditors), and the issuance and/or sale of the Offered Shares is not subject to any preemptive rights, rights of first refusal or other similar rights to subscribe for or purchase the Offered Shares.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w:t>
        <w:tab/>
      </w:r>
      <w:r>
        <w:rPr>
          <w:rFonts w:ascii="Times New Roman;Times;Serif" w:hAnsi="Times New Roman;Times;Serif"/>
          <w:b/>
          <w:i/>
          <w:caps w:val="false"/>
          <w:smallCaps w:val="false"/>
          <w:sz w:val="20"/>
        </w:rPr>
        <w:t>No Applicable Registration or Other Similar Rights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There are no persons with registration or other similar rights to have any equity or debt securities registered for sale under the Registration Statement or included in the offering contemplated by this Agreement, except for such rights as have been duly waived.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(j)</w:t>
        <w:tab/>
      </w:r>
      <w:r>
        <w:rPr>
          <w:rFonts w:ascii="Times New Roman;Times;Serif" w:hAnsi="Times New Roman;Times;Serif"/>
          <w:b/>
          <w:i/>
          <w:caps w:val="false"/>
          <w:smallCaps w:val="false"/>
          <w:sz w:val="20"/>
        </w:rPr>
        <w:t>No Material Adverse Change</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Subsequent to the respective dates as of which information is given in the Registration Statement, the Time of Sale Prospectus and the Prospectus: (i) there has been no material adverse change, or any development that could be expected to result in a material adverse change, in (A) the condition, financial or otherwise, or in the earnings, business, properties, operations, operating results, assets, liabilities or prospects, whether or not arising from transactions in the ordinary course of business, of the Company and its subsidiaries, considered as one entity or (B) the ability of the Company to consummate the transactions contemplated by this Agreement or perform its obligations hereunder (any such change being referred to herein as a “</w:t>
      </w:r>
      <w:r>
        <w:rPr>
          <w:rFonts w:ascii="Times New Roman;Times;Serif" w:hAnsi="Times New Roman;Times;Serif"/>
          <w:b/>
          <w:i w:val="false"/>
          <w:caps w:val="false"/>
          <w:smallCaps w:val="false"/>
          <w:sz w:val="20"/>
        </w:rPr>
        <w:t>Material Adverse Change</w:t>
      </w:r>
      <w:r>
        <w:rPr>
          <w:rFonts w:ascii="Times New Roman;Times;Serif" w:hAnsi="Times New Roman;Times;Serif"/>
          <w:b w:val="false"/>
          <w:i w:val="false"/>
          <w:caps w:val="false"/>
          <w:smallCaps w:val="false"/>
          <w:sz w:val="20"/>
        </w:rPr>
        <w:t xml:space="preserve">”); (ii) the Company and its subsidiaries, considered as one entity, have not incurred any material liability or obligation, indirect, direct or contingent, including without limitation any losses or interference with their business from fire, explosion, flood, earthquakes, accident or other calamity, whether or not covered by insurance, or from any strike, labor dispute or court or governmental action, order or decree, that are material, individually or in the aggregate, to the Company and its subsidiaries, considered as one entity, and have not entered into any transactions not in the ordinary course of business; and (iii) there has not been any material decrease in the share capital or any material increase in any short-term or long-term indebtedness of the Company or its subsidiaries and there has been no dividend or distribution of any kind declared,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paid or made by the Company or, except for dividends paid to the Company or other subsidiaries, by any of the Company’s subsidiaries on any class of share capital, or any repurchase or redemption by the Company or any of its subsidiaries of any class of share capital.</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(k)</w:t>
        <w:tab/>
      </w:r>
      <w:r>
        <w:rPr>
          <w:rFonts w:ascii="Times New Roman;Times;Serif" w:hAnsi="Times New Roman;Times;Serif"/>
          <w:b/>
          <w:i/>
          <w:caps w:val="false"/>
          <w:smallCaps w:val="false"/>
          <w:sz w:val="20"/>
        </w:rPr>
        <w:t>Independent Accountants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Deloitte ehf., which has expressed its opinion with respect to the financial statements (which term as used in this Agreement includes the related notes thereto) filed with the Commission as a part of the Registration Statement, the Time of Sale Prospectus and the Prospectus, is (i) an independent registered public accounting firm as required by the Securities Act, the Exchange Act, and the rules of the Public Company Accounting Oversight Board (“</w:t>
      </w:r>
      <w:r>
        <w:rPr>
          <w:rFonts w:ascii="Times New Roman;Times;Serif" w:hAnsi="Times New Roman;Times;Serif"/>
          <w:b/>
          <w:i w:val="false"/>
          <w:caps w:val="false"/>
          <w:smallCaps w:val="false"/>
          <w:sz w:val="20"/>
        </w:rPr>
        <w:t>PCAOB</w:t>
      </w:r>
      <w:r>
        <w:rPr>
          <w:rFonts w:ascii="Times New Roman;Times;Serif" w:hAnsi="Times New Roman;Times;Serif"/>
          <w:b w:val="false"/>
          <w:i w:val="false"/>
          <w:caps w:val="false"/>
          <w:smallCaps w:val="false"/>
          <w:sz w:val="20"/>
        </w:rPr>
        <w:t>”), (ii) in compliance with the applicable requirements relating to the qualification of accountants under Rule 2-01 of Regulation S-X under the Securities Act and (iii) a registered public accounting firm as defined by the PCAOB whose registration has not been suspended or revoked and who has not requested such registration to be withdrawn.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w:t>
        <w:tab/>
      </w:r>
      <w:r>
        <w:rPr>
          <w:rFonts w:ascii="Times New Roman;Times;Serif" w:hAnsi="Times New Roman;Times;Serif"/>
          <w:b/>
          <w:i/>
          <w:caps w:val="false"/>
          <w:smallCaps w:val="false"/>
          <w:sz w:val="20"/>
        </w:rPr>
        <w:t>Financial Statements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financial statements filed with the Commission as a part of the Registration Statement, the Time of Sale Prospectus and the Prospectus present fairly the consolidated financial position of the Company and its subsidiaries as of the dates indicated and the results of their operations, changes in shareholders’ equity and cash flows for the periods specified. Such financial statements have been prepared in conformity with generally accepted accounting principles as applied by the International Financial Reporting Standards (“</w:t>
      </w:r>
      <w:r>
        <w:rPr>
          <w:rFonts w:ascii="Times New Roman;Times;Serif" w:hAnsi="Times New Roman;Times;Serif"/>
          <w:b/>
          <w:i w:val="false"/>
          <w:caps w:val="false"/>
          <w:smallCaps w:val="false"/>
          <w:sz w:val="20"/>
        </w:rPr>
        <w:t>IFRS</w:t>
      </w:r>
      <w:r>
        <w:rPr>
          <w:rFonts w:ascii="Times New Roman;Times;Serif" w:hAnsi="Times New Roman;Times;Serif"/>
          <w:b w:val="false"/>
          <w:i w:val="false"/>
          <w:caps w:val="false"/>
          <w:smallCaps w:val="false"/>
          <w:sz w:val="20"/>
        </w:rPr>
        <w:t>”) as adopted by the International Accounting Standards Board and applied on a consistent basis throughout the periods involved, except as may be expressly stated in the related notes thereto. The interactive data in eXtensible Business Reporting Language included or incorporated by reference in the Registration Statement fairly presents the information called for in all material respects and has been prepared in accordance with the Commission’s rules and guidelines applicable thereto. No other financial statements or supporting schedules are required to be included in the Registration Statement, the Time of Sale Prospectus or the Prospectus. The financial data set forth in each of the Registration Statement, the Time of Sale Prospectus and the Prospectus fairly present in all material respects the information set forth therein on a basis consistent with that of the audited financial statements contained in the Registration Statement, the Time of Sale Prospectus and the Prospectus. To the Company’s knowledge, no person who has been suspended or barred from being associated with a registered public accounting firm, or who has failed to comply with any sanction pursuant to Rule 5300 promulgated by the PCAOB, has participated in or otherwise aided the preparation of, or audited, the financial statements, supporting schedules or other financial data filed with the Commission as a part of the Registration Statement, the Time of Sale Prospectus and the Prospectus. Any disclosures contained in the Registration Statement, any preliminary prospectus, the Prospectus and any free writing prospectus that constitute non-IFRS financial measures (as defined by the rules and regulations under the Securities Act and the Exchange Act) comply with Regulation G under the Exchange Act and Item 10 of Regulation S-K under the Securities Act, as applicable.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w:t>
        <w:tab/>
      </w:r>
      <w:r>
        <w:rPr>
          <w:rFonts w:ascii="Times New Roman;Times;Serif" w:hAnsi="Times New Roman;Times;Serif"/>
          <w:b/>
          <w:i/>
          <w:caps w:val="false"/>
          <w:smallCaps w:val="false"/>
          <w:sz w:val="20"/>
        </w:rPr>
        <w:t>Company’s Accounting System</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Company and each of its subsidiaries make and keep accurate books and records and maintain a system of internal accounting controls sufficient to provide reasonable assurance that: (i) transactions are executed in accordance with management’s general or specific authorization; (ii) transactions are recorded as necessary to permit preparation of financial statements in conformity with IFRS as adopted by the International Accounting Standards Board and to maintain accountability for assets; (iii) access to assets is permitted only in accordance with management’s general or specific authorization; (iv) the recorded accountability for assets is compared with existing assets at reasonable intervals and appropriate action is taken with respect to any differences; and (v) the interactive data in eXtensible Business Reporting Language included or incorporated by reference in the Registration Statement, the Time of Sale Prospectus and the Prospectus fairly presents the information called for in all material respects and is prepared in accordance with the Commission’s rules and guidelines applicable thereto.</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w:t>
        <w:tab/>
      </w:r>
      <w:r>
        <w:rPr>
          <w:rFonts w:ascii="Times New Roman;Times;Serif" w:hAnsi="Times New Roman;Times;Serif"/>
          <w:b/>
          <w:i/>
          <w:caps w:val="false"/>
          <w:smallCaps w:val="false"/>
          <w:sz w:val="20"/>
        </w:rPr>
        <w:t>Incorporation of the Company</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Company has been duly incorporated and is validly existing as a public limited liability company (</w:t>
      </w:r>
      <w:r>
        <w:rPr>
          <w:rFonts w:ascii="Times New Roman;Times;Serif" w:hAnsi="Times New Roman;Times;Serif"/>
          <w:b w:val="false"/>
          <w:i/>
          <w:caps w:val="false"/>
          <w:smallCaps w:val="false"/>
          <w:sz w:val="20"/>
        </w:rPr>
        <w:t>société anonyme</w:t>
      </w:r>
      <w:r>
        <w:rPr>
          <w:rFonts w:ascii="Times New Roman;Times;Serif" w:hAnsi="Times New Roman;Times;Serif"/>
          <w:b w:val="false"/>
          <w:i w:val="false"/>
          <w:caps w:val="false"/>
          <w:smallCaps w:val="false"/>
          <w:sz w:val="20"/>
        </w:rPr>
        <w:t>) under the laws of Luxembourg and has the power and authority (corporate or other) to own, lease and operate its properties and to conduct its business as described in the Registration Statement, the Time of Sale Prospectus and the Prospectus and to enter into and perform its obligations under this Agreement. The Company is duly qualified as a foreign company to transact business in each other jurisdiction in which such qualification is required, whether by reason of the ownership or leasing of property or the conduct of business.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w:t>
        <w:tab/>
      </w:r>
      <w:r>
        <w:rPr>
          <w:rFonts w:ascii="Times New Roman;Times;Serif" w:hAnsi="Times New Roman;Times;Serif"/>
          <w:b/>
          <w:i/>
          <w:caps w:val="false"/>
          <w:smallCaps w:val="false"/>
          <w:sz w:val="20"/>
        </w:rPr>
        <w:t>Subsidiaries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Each of the Company’s “subsidiaries” (for purposes of this Agreement, as defined in Rule 405 under the Securities Act) has been duly incorporated or organized, as the case may be, and is validly existing as a corporation, partnership or limited liability company, as applicable, in good standing (where such concept is recognized under the laws of the jurisdiction in which they are organized and formed) under the laws of the jurisdiction of its incorporation or organization and has the power and authority (corporate or other) to own, lease and operate its properties and to conduct its business as described in the Registration Statement, the Time of Sale Prospectus and the Prospectus. Each of the Company’s subsidiaries is duly qualified as a foreign corporation, partnership or limited liability company, as applicable, to transact business and is in good standing (where such concept is recognized under the laws of the jurisdiction in which they are organized and formed) in each jurisdiction in which such qualification is required, whether by reason of the ownership or leasing of property or the conduct of business. All of the issued and outstanding share capital or other equity or ownership interests of each of the Company’s subsidiaries have been duly authorized and validly issued, are fully paid and nonassessable (meaning that the holder of such Offered Shares shall not be liable, solely because of its shareholder status, for additional payments to the Company or the Company’s creditors) and, except as disclosed in the Registration Statement, the Time of Sale Prospectus and the Prospectus, all such shares are owned by the Company, directly or through subsidiaries, free and clear of any security interest, mortgage, pledge, lien, encumbrance or adverse claim, except for the shares in Alvotech hf., Fasteignafélgið Sæmundur hf., and Alvotech US Inc, which are pledged. </w:t>
      </w:r>
      <w:r>
        <w:rPr>
          <w:rFonts w:ascii="Times New Roman;Times;Serif" w:hAnsi="Times New Roman;Times;Serif"/>
          <w:b w:val="false"/>
          <w:i w:val="false"/>
          <w:caps w:val="false"/>
          <w:smallCaps w:val="false"/>
          <w:sz w:val="20"/>
          <w:shd w:fill="FFFFFF" w:val="clear"/>
        </w:rPr>
        <w:t>None of the outstanding share capital or equity interest in any subsidiary was issued in violation of preemptive or similar rights of any security holder of such subsidiary. The constitutive or organizational documents of each of the subsidiaries comply in all material respects with the requirements of applicable laws of its jurisdiction of incorporation or organization and are in full force and effect. All of the Company’s “significant subsidiaries” as defined in Regulation S-X 1-02(w) of the Exchange Act are listed on Exhibit 8.1 to the Company’s Annual Report on Form 20-F for the fiscal year ended December 31, 2025</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w:t>
        <w:tab/>
      </w:r>
      <w:r>
        <w:rPr>
          <w:rFonts w:ascii="Times New Roman;Times;Serif" w:hAnsi="Times New Roman;Times;Serif"/>
          <w:b/>
          <w:i/>
          <w:caps w:val="false"/>
          <w:smallCaps w:val="false"/>
          <w:sz w:val="20"/>
        </w:rPr>
        <w:t>Capitalization and Other Share Capital Matters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share capital of the Company is as set forth in the Registration Statement, the Time of Sale Prospectus and the Prospectus under the caption “Description of Share Capital and Articles of Association” (other than for subsequent issuances, if any, pursuant to employee benefit plans, or upon the exercise of outstanding options or warrants or such other equity issuances, in each case as described in the Registration Statement, the Time of Sale Prospectus and the Prospectus). The Shares (including the Offered Shares) conform in all material respects to the description thereof contained in the Time of Sale Prospectus. All of the issued and outstanding Shares have been duly authorized and validly issued, are fully paid and nonassessable (meaning that the holder of such Shares shall not be liable, solely because of its shareholder status, for additional payments to the Company or the Company’s creditors) and have been issued in compliance with the laws of Luxembourg and, to the extent applicable, with all federal and state securities laws. None of the Shares was issued in violation of any preemptive rights, rights of first refusal or other similar rights to subscribe for or purchase securities of the Company. There are no authorized or outstanding options, warrants, preemptive rights, rights of first refusal or other rights to purchase, or equity or debt securities convertible into or exchangeable or exercisable for, any share capital of the Company or any of its subsidiaries other than those described in the Registration Statement, the Time of Sale Prospectus and the Prospectus. The descriptions of the Company’s stock option, stock bonus and other equity plans or arrangements, and the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options or other rights granted thereunder, set forth in the Registration Statement, the Time of Sale Prospectus and the Prospectus accurately and fairly presents the information required to be shown with respect to such plans, arrangements, options and rights.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(q)</w:t>
        <w:tab/>
      </w:r>
      <w:r>
        <w:rPr>
          <w:rFonts w:ascii="Times New Roman;Times;Serif" w:hAnsi="Times New Roman;Times;Serif"/>
          <w:b/>
          <w:i/>
          <w:caps w:val="false"/>
          <w:smallCaps w:val="false"/>
          <w:sz w:val="20"/>
        </w:rPr>
        <w:t>Stock Exchange Listing</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Shares are registered pursuant to Section 12(b) or 12(g) of the Exchange Act and are listed on the Nasdaq Global Market (the “</w:t>
      </w:r>
      <w:r>
        <w:rPr>
          <w:rFonts w:ascii="Times New Roman;Times;Serif" w:hAnsi="Times New Roman;Times;Serif"/>
          <w:b/>
          <w:i w:val="false"/>
          <w:caps w:val="false"/>
          <w:smallCaps w:val="false"/>
          <w:sz w:val="20"/>
        </w:rPr>
        <w:t>Nasdaq</w:t>
      </w:r>
      <w:r>
        <w:rPr>
          <w:rFonts w:ascii="Times New Roman;Times;Serif" w:hAnsi="Times New Roman;Times;Serif"/>
          <w:b w:val="false"/>
          <w:i w:val="false"/>
          <w:caps w:val="false"/>
          <w:smallCaps w:val="false"/>
          <w:sz w:val="20"/>
        </w:rPr>
        <w:t>”), and the Company has taken no action designed to, or likely to have the effect of, terminating the registration of the Shares under the Exchange Act or delisting the Shares from the Nasdaq, nor has the Company received any notification that the Commission or the Nasdaq is contemplating terminating or suspending such registration or listing. To the Company’s knowledge, it is in compliance with all applicable listing requirements of the Nasdaq.</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w:t>
        <w:tab/>
      </w:r>
      <w:r>
        <w:rPr>
          <w:rFonts w:ascii="Times New Roman;Times;Serif" w:hAnsi="Times New Roman;Times;Serif"/>
          <w:b/>
          <w:i/>
          <w:caps w:val="false"/>
          <w:smallCaps w:val="false"/>
          <w:sz w:val="20"/>
        </w:rPr>
        <w:t>Non-Contravention of Existing Instruments; No Further Authorizations or Approvals Required</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Neither the Company nor any of its subsidiaries is (i) in violation of its articles of association, charter or by-laws, partnership agreement or operating agreement or similar organizational documents, as applicable, (ii) in default (or, with the giving of notice or lapse of time, would be in default) (“</w:t>
      </w:r>
      <w:r>
        <w:rPr>
          <w:rFonts w:ascii="Times New Roman;Times;Serif" w:hAnsi="Times New Roman;Times;Serif"/>
          <w:b/>
          <w:i w:val="false"/>
          <w:caps w:val="false"/>
          <w:smallCaps w:val="false"/>
          <w:sz w:val="20"/>
        </w:rPr>
        <w:t>Default</w:t>
      </w:r>
      <w:r>
        <w:rPr>
          <w:rFonts w:ascii="Times New Roman;Times;Serif" w:hAnsi="Times New Roman;Times;Serif"/>
          <w:b w:val="false"/>
          <w:i w:val="false"/>
          <w:caps w:val="false"/>
          <w:smallCaps w:val="false"/>
          <w:sz w:val="20"/>
        </w:rPr>
        <w:t>”) under any indenture, loan, credit agreement, note, lease, license agreement, contract, franchise or other instrument (including, without limitation, any pledge agreement, security agreement, mortgage or other instrument or agreement evidencing, guaranteeing, securing or relating to indebtedness) to which the Company or any of its subsidiaries is a party or by which it or any of them may be bound, or to which any of their respective properties or assets are subject (each, an “</w:t>
      </w:r>
      <w:r>
        <w:rPr>
          <w:rFonts w:ascii="Times New Roman;Times;Serif" w:hAnsi="Times New Roman;Times;Serif"/>
          <w:b/>
          <w:i w:val="false"/>
          <w:caps w:val="false"/>
          <w:smallCaps w:val="false"/>
          <w:sz w:val="20"/>
        </w:rPr>
        <w:t>Existing Instrument</w:t>
      </w:r>
      <w:r>
        <w:rPr>
          <w:rFonts w:ascii="Times New Roman;Times;Serif" w:hAnsi="Times New Roman;Times;Serif"/>
          <w:b w:val="false"/>
          <w:i w:val="false"/>
          <w:caps w:val="false"/>
          <w:smallCaps w:val="false"/>
          <w:sz w:val="20"/>
        </w:rPr>
        <w:t>”), except for such Defaults as could not be expected, individually or in the aggregate, to result in a Material Adverse Change or (iii) in violation of any law, statute, rule, regulation, judgment, order, writ or decree of any arbitrator, court, governmental body, regulatory body, administrative agency or other authority, body or agency having jurisdiction over the Company or any of its subsidiaries or any of their respective properties, assets or operations, except for such violations that would not, individually or in the aggregate, result in a Material Adverse Change. The Company’s execution, delivery and performance of this Agreement, consummation of the transactions contemplated hereby and by the Registration Statement, the Time of Sale Prospectus and the Prospectus and the issuance and sale of the Offered Shares (including the use of proceeds from the sale of the Offered Shares as described in the Registration Statement, the Time of Sale Prospectus and the Prospectus under the caption “Use of Proceeds”) (i) have been duly authorized by all necessary action (corporate or other) and will not result in any violation of the provisions of the articles of association, charter or by-laws, partnership agreement or operating agreement or similar organizational documents, as applicable, of the Company or any subsidiary (ii) will not conflict with or constitute a breach of, or Default or a Debt Repayment Triggering Event (as defined below) under, or result in the creation or imposition of any lien, charge or encumbrance upon any property or assets of the Company or any of its subsidiaries pursuant to, or require the consent of any other party to, any Existing Instrument, except as could not be expected, individually or in the aggregate, to result in a Material Adverse Change and (iii) will not result in any violation of any law, administrative regulation or administrative or court decree applicable to the Company or any of its subsidiaries. No consent, approval, authorization or other order of, or registration or filing with, any court or other governmental or regulatory authority or agency, is required for the Company’s execution, delivery and performance of this Agreement and consummation of the transactions contemplated hereby and by the Registration Statement, the Time of Sale Prospectus and the Prospectus, except such as have been obtained or made by the Company and are in full force and effect under the Securities Act and such as may be required under applicable state securities or blue sky laws or FINRA (as defined below). As used herein, a “</w:t>
      </w:r>
      <w:r>
        <w:rPr>
          <w:rFonts w:ascii="Times New Roman;Times;Serif" w:hAnsi="Times New Roman;Times;Serif"/>
          <w:b/>
          <w:i w:val="false"/>
          <w:caps w:val="false"/>
          <w:smallCaps w:val="false"/>
          <w:sz w:val="20"/>
        </w:rPr>
        <w:t>Debt Repayment Triggering Event</w:t>
      </w:r>
      <w:r>
        <w:rPr>
          <w:rFonts w:ascii="Times New Roman;Times;Serif" w:hAnsi="Times New Roman;Times;Serif"/>
          <w:b w:val="false"/>
          <w:i w:val="false"/>
          <w:caps w:val="false"/>
          <w:smallCaps w:val="false"/>
          <w:sz w:val="20"/>
        </w:rPr>
        <w:t>” means any event or condition which gives, or with the giving of notice or lapse of time would give, the holder of any note, debenture or other evidence of indebtedness (or any person acting on such holder’s behalf) the right to require the repurchase, redemption or repayment of all or a portion of such indebtedness by the Company or any of its subsidiaries.</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w:t>
        <w:tab/>
      </w:r>
      <w:r>
        <w:rPr>
          <w:rFonts w:ascii="Times New Roman;Times;Serif" w:hAnsi="Times New Roman;Times;Serif"/>
          <w:b/>
          <w:i/>
          <w:caps w:val="false"/>
          <w:smallCaps w:val="false"/>
          <w:sz w:val="20"/>
        </w:rPr>
        <w:t>No Material Actions or Proceedings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Except as otherwise disclosed in the Registration Statement, the Time of Sale Prospectus and the Prospectus, there is no action, suit, proceeding, or written notice of inquiry or investigation brought by or before any legal or governmental entity now pending or, to the knowledge of the Company, threatened, against or affecting the Company or any of its subsidiaries, which could be expected, individually or in the aggregate, to result in a Material Adverse Change. No material labor dispute with the employees of the Company or any of its subsidiaries, or with the employees of any principal supplier, manufacturer, customer or contractor of the Company, exists or, to the knowledge of the Company, is threatened or imminent.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w:t>
        <w:tab/>
      </w:r>
      <w:r>
        <w:rPr>
          <w:rFonts w:ascii="Times New Roman;Times;Serif" w:hAnsi="Times New Roman;Times;Serif"/>
          <w:b/>
          <w:i/>
          <w:caps w:val="false"/>
          <w:smallCaps w:val="false"/>
          <w:sz w:val="20"/>
        </w:rPr>
        <w:t>Intellectual Property Rights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Except as otherwise disclosed in the Registration Statement, the Time of Sale Prospectus and the Prospectus, the Company and its subsidiaries own, or have obtained valid and enforceable licenses for, the inventions, patent applications, patents, trademarks, trade names, service names, copyrights, trade secrets and other intellectual property described in the Registration Statement, the Time of Sale Prospectus and the Prospectus as being owned or licensed by them or which are necessary for the conduct of their respective businesses as currently conducted or as currently proposed to be conducted (collectively, “</w:t>
      </w:r>
      <w:r>
        <w:rPr>
          <w:rFonts w:ascii="Times New Roman;Times;Serif" w:hAnsi="Times New Roman;Times;Serif"/>
          <w:b/>
          <w:i w:val="false"/>
          <w:caps w:val="false"/>
          <w:smallCaps w:val="false"/>
          <w:sz w:val="20"/>
        </w:rPr>
        <w:t>Intellectual Property</w:t>
      </w:r>
      <w:r>
        <w:rPr>
          <w:rFonts w:ascii="Times New Roman;Times;Serif" w:hAnsi="Times New Roman;Times;Serif"/>
          <w:b w:val="false"/>
          <w:i w:val="false"/>
          <w:caps w:val="false"/>
          <w:smallCaps w:val="false"/>
          <w:sz w:val="20"/>
        </w:rPr>
        <w:t xml:space="preserve">”) and the conduct of their respective businesses does not and will not infringe, misappropriate or otherwise conflict in any material respect with any such rights of others. The Intellectual Property of the Company has not been adjudged by a court of competent jurisdiction to be invalid or unenforceable, in whole or in part, and the Company is unaware of any facts which would form a reasonable basis for any such adjudication. To the Company’s knowledge: (i) there are no third parties who have rights to any Intellectual Property, except for customary reversionary rights of third-party licensors with respect to Intellectual Property that is disclosed in the Registration Statement, the Time of Sale Prospectus and the Prospectus as licensed to the Company or one or more of its subsidiaries; and (ii) there is no infringement by third parties of any Intellectual Property. There is no pending or, to the Company’s knowledge, threatened action, suit, proceeding or claim by others: (A) challenging the Company’s rights in or to any Intellectual Property, and the Company is unaware of any facts which would form a reasonable basis for any such action, suit, proceeding or claim; (B) challenging the validity, enforceability or scope of any Intellectual Property, and the Company is unaware of any facts which would form a reasonable basis for any such action, suit, proceeding or claim; or (C) asserting that the Company or any of its subsidiaries infringes or otherwise violates, or would, upon the commercialization of any product or service described in the Registration Statement, the Time of Sale Prospectus or the Prospectus as under development, infringe or violate, any patent, trademark, trade name, service name, copyright, trade secret or other proprietary rights of others, and the Company is unaware of any facts which would form a reasonable basis for any such action, suit, proceeding or claim. The Company and its subsidiaries have complied with the terms of each agreement pursuant to which Intellectual Property has been licensed to the Company or any subsidiary, and all such agreements are in full force and effect. To the Company’s knowledge, there are no material defects in any of the patents or patent applications included in the Intellectual Property. The Company and its subsidiaries have taken all reasonable steps to protect, maintain and safeguard their Intellectual Property, including the execution of appropriate nondisclosure, confidentiality agreements and invention assignment agreements and invention assignments with their employees, and no employee of the Company is in or has been in violation of any term of any employment contract, patent disclosure agreement, invention assignment agreement, non-competition agreement, non-solicitation agreement, nondisclosure agreement, or any restrictive covenant to or with a former employer where the basis of such violation relates to such employee’s employment with the Company. The duty of candor and good faith as required by the United States Patent and Trademark Office during the prosecution of the United States patents and patent applications included in the Intellectual Property have been complied with; and in all foreign offices having similar requirements, all such requirements have been complied with. None of the Company owned Intellectual Property or technology (including information technology and outsourced arrangements) employed by the Company or its subsidiaries has been obtained or is being used by the Company or its subsidiary in violation of any contractual obligation binding on the Company or its subsidiaries or any of their respective officers, directors or employees or otherwise in violation of the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rights of any persons. The product candidates described in the Registration Statement, the Time of Sale Prospectus and the Prospectus as under development by the Company or any subsidiary fall within the scope of the claims of one or more patents owned by, or exclusively licensed to, the Company or any subsidiary.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(u)</w:t>
        <w:tab/>
      </w:r>
      <w:r>
        <w:rPr>
          <w:rFonts w:ascii="Times New Roman;Times;Serif" w:hAnsi="Times New Roman;Times;Serif"/>
          <w:b/>
          <w:i/>
          <w:caps w:val="false"/>
          <w:smallCaps w:val="false"/>
          <w:sz w:val="20"/>
        </w:rPr>
        <w:t>All Necessary Permits, etc</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Company and each subsidiary possess such valid and current certificates, authorizations or permits required by state, federal or foreign regulatory agencies or bodies to conduct their respective businesses as currently conducted and as described in the Registration Statement, the Time of Sale Prospectus or the Prospectus, except where the failure to possess such certificates, authorizations or permits would not, individually or in the aggregate, reasonably be expected to result in a Material Adverse Change (“</w:t>
      </w:r>
      <w:r>
        <w:rPr>
          <w:rFonts w:ascii="Times New Roman;Times;Serif" w:hAnsi="Times New Roman;Times;Serif"/>
          <w:b/>
          <w:i w:val="false"/>
          <w:caps w:val="false"/>
          <w:smallCaps w:val="false"/>
          <w:sz w:val="20"/>
        </w:rPr>
        <w:t>Permits</w:t>
      </w:r>
      <w:r>
        <w:rPr>
          <w:rFonts w:ascii="Times New Roman;Times;Serif" w:hAnsi="Times New Roman;Times;Serif"/>
          <w:b w:val="false"/>
          <w:i w:val="false"/>
          <w:caps w:val="false"/>
          <w:smallCaps w:val="false"/>
          <w:sz w:val="20"/>
        </w:rPr>
        <w:t>”). Neither the Company nor any of its subsidiaries is in violation of, or in default under, any of the Permits or has received any notice of proceedings relating to the revocation or modification of, or non-compliance with, any such certificate, authorization or permit, except as would not, individually or in the aggregate, reasonably be expected to result in a Material Adverse Change.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(v)</w:t>
        <w:tab/>
      </w:r>
      <w:r>
        <w:rPr>
          <w:rFonts w:ascii="Times New Roman;Times;Serif" w:hAnsi="Times New Roman;Times;Serif"/>
          <w:b/>
          <w:i/>
          <w:caps w:val="false"/>
          <w:smallCaps w:val="false"/>
          <w:sz w:val="20"/>
        </w:rPr>
        <w:t>Title to Properties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Except as otherwise disclosed in the Registration Statement, the Time of Sale Prospectus and the Prospectus, the Company and its subsidiaries have good and marketable title to all of the real and personal property and other assets reflected as owned in the financial statements referred to in Section 1(l) above (or elsewhere in the Registration Statement, the Time of Sale Prospectus or the Prospectus), in each case free and clear of any security interests, mortgages, liens, encumbrances, equities, adverse claims and other defects, except for those that are for the payment of taxes not yet due and delinquent or for which appropriate reserves have been made therefor. The real property, improvements, equipment and personal property held under lease by the Company or its subsidiaries are held under valid and enforceable leases, with such exceptions as are not material and do not materially interfere with the use made or proposed to be made of such real property, improvements, equipment or personal property by the Company or such subsidiary.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w:t>
        <w:tab/>
      </w:r>
      <w:r>
        <w:rPr>
          <w:rFonts w:ascii="Times New Roman;Times;Serif" w:hAnsi="Times New Roman;Times;Serif"/>
          <w:b/>
          <w:i/>
          <w:caps w:val="false"/>
          <w:smallCaps w:val="false"/>
          <w:sz w:val="20"/>
        </w:rPr>
        <w:t>Tax Law Compliance</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Company and its subsidiaries have filed all U.S. federal, U.S. state and foreign income and franchise tax returns required to be filed by any of them or have properly requested extensions thereof and have paid all taxes required to be paid by any of them (except for taxes being contested in good faith and by appropriate proceedings), except as would not, individually or in the aggregate, reasonably be expected to result in a Material Adverse Change. The Company has made adequate charges, accruals and reserves in the applicable financial statements referred to in Section 1(l) above in respect of all U.S. federal, U.S. state and foreign income and franchise taxes for all periods as to which the tax liability of the Company or any of its subsidiaries has not been finally determined, except for taxes being contested in good faith and by appropriate proceedings or where such inadequacy would not reasonably be expected to have a Material Adverse Change.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(x)</w:t>
        <w:tab/>
      </w:r>
      <w:r>
        <w:rPr>
          <w:rFonts w:ascii="Times New Roman;Times;Serif" w:hAnsi="Times New Roman;Times;Serif"/>
          <w:b/>
          <w:i/>
          <w:caps w:val="false"/>
          <w:smallCaps w:val="false"/>
          <w:sz w:val="20"/>
        </w:rPr>
        <w:t>Company Not an “Investment Company.”</w:t>
      </w:r>
      <w:r>
        <w:rPr>
          <w:rFonts w:ascii="Times New Roman;Times;Serif" w:hAnsi="Times New Roman;Times;Serif"/>
          <w:b w:val="false"/>
          <w:i w:val="false"/>
          <w:caps w:val="false"/>
          <w:smallCaps w:val="false"/>
          <w:sz w:val="20"/>
        </w:rPr>
        <w:t xml:space="preserve"> The Company is not, and will not be, either after receipt of payment for the Offered Shares or after the application of the proceeds therefrom as described under “Use of Proceeds” in the Registration Statement, the Time of Sale Prospectus or the Prospectus, required to register as an “investment company” under the Investment Company Act of 1940, as amended (the “</w:t>
      </w:r>
      <w:r>
        <w:rPr>
          <w:rFonts w:ascii="Times New Roman;Times;Serif" w:hAnsi="Times New Roman;Times;Serif"/>
          <w:b/>
          <w:i w:val="false"/>
          <w:caps w:val="false"/>
          <w:smallCaps w:val="false"/>
          <w:sz w:val="20"/>
        </w:rPr>
        <w:t>Investment Company Act</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(y)</w:t>
        <w:tab/>
      </w:r>
      <w:r>
        <w:rPr>
          <w:rFonts w:ascii="Times New Roman;Times;Serif" w:hAnsi="Times New Roman;Times;Serif"/>
          <w:b/>
          <w:i/>
          <w:caps w:val="false"/>
          <w:smallCaps w:val="false"/>
          <w:sz w:val="20"/>
        </w:rPr>
        <w:t>Insurance</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Each of the Company and its subsidiaries are insured by recognized, financially sound and reputable institutions with policies in such amounts and with such deductibles and covering such risks as are generally deemed adequate and customary for their businesses including, but not limited to, policies covering real and personal property owned or leased by the Company and its subsidiaries against theft, damage, destruction, acts of vandalism and earthquakes and policies covering the Company and its subsidiaries for product liability claims and clinical trial liability claims. The Company</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has no reason to believe that it or any of its subsidiaries will not be able (i) to renew its existing insurance coverage as and when such policies expire or (ii) to obtain comparable coverage from similar institutions as may be necessary or appropriate to conduct its business as now conducted and at a cost that could not be expected to result in a Material Adverse Change. Neither the Company nor any of its subsidiaries has been denied any insurance coverage which it has sought or for which it has applied.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(z)</w:t>
        <w:tab/>
      </w:r>
      <w:r>
        <w:rPr>
          <w:rFonts w:ascii="Times New Roman;Times;Serif" w:hAnsi="Times New Roman;Times;Serif"/>
          <w:b/>
          <w:i/>
          <w:caps w:val="false"/>
          <w:smallCaps w:val="false"/>
          <w:sz w:val="20"/>
        </w:rPr>
        <w:t>No Price Stabilization or Manipulation; Compliance with Regulation M</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Neither the Company nor any of its subsidiaries has taken, directly or indirectly, any action designed to or that might cause or result in stabilization or manipulation of the price of the Shares or of any “reference security” (as defined in Rule 100 of Regulation M under the Exchange Act (“</w:t>
      </w:r>
      <w:r>
        <w:rPr>
          <w:rFonts w:ascii="Times New Roman;Times;Serif" w:hAnsi="Times New Roman;Times;Serif"/>
          <w:b/>
          <w:i w:val="false"/>
          <w:caps w:val="false"/>
          <w:smallCaps w:val="false"/>
          <w:sz w:val="20"/>
        </w:rPr>
        <w:t>Regulation M</w:t>
      </w:r>
      <w:r>
        <w:rPr>
          <w:rFonts w:ascii="Times New Roman;Times;Serif" w:hAnsi="Times New Roman;Times;Serif"/>
          <w:b w:val="false"/>
          <w:i w:val="false"/>
          <w:caps w:val="false"/>
          <w:smallCaps w:val="false"/>
          <w:sz w:val="20"/>
        </w:rPr>
        <w:t>”)) with respect to the Shares, whether to facilitate the sale or resale of the Offered Shares or otherwise, and has taken no action which would directly or indirectly violate Regulation M.</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(aa)</w:t>
        <w:tab/>
      </w:r>
      <w:r>
        <w:rPr>
          <w:rFonts w:ascii="Times New Roman;Times;Serif" w:hAnsi="Times New Roman;Times;Serif"/>
          <w:b/>
          <w:i/>
          <w:caps w:val="false"/>
          <w:smallCaps w:val="false"/>
          <w:sz w:val="20"/>
        </w:rPr>
        <w:t>Related-Party Transactions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There are no business relationships or related-party transactions involving the Company or any of its subsidiaries or any other person required to be described in the Registration Statement, the Time of Sale Prospectus or the Prospectus which have not been described as required.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(bb)</w:t>
        <w:tab/>
      </w:r>
      <w:r>
        <w:rPr>
          <w:rFonts w:ascii="Times New Roman;Times;Serif" w:hAnsi="Times New Roman;Times;Serif"/>
          <w:b/>
          <w:i/>
          <w:caps w:val="false"/>
          <w:smallCaps w:val="false"/>
          <w:sz w:val="20"/>
        </w:rPr>
        <w:t>FINRA Matters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All of the information provided to the Underwriters or to counsel for the Underwriters by the Company, its counsel, its officers and directors and the holders of any securities (debt or equity) or options to acquire any securities of the Company in connection with the offering of the Offered Shares is true, complete, correct and compliant in all material respects with Financial Industry Regulatory Authority, Inc.’s (“</w:t>
      </w:r>
      <w:r>
        <w:rPr>
          <w:rFonts w:ascii="Times New Roman;Times;Serif" w:hAnsi="Times New Roman;Times;Serif"/>
          <w:b/>
          <w:i w:val="false"/>
          <w:caps w:val="false"/>
          <w:smallCaps w:val="false"/>
          <w:sz w:val="20"/>
        </w:rPr>
        <w:t>FINRA</w:t>
      </w:r>
      <w:r>
        <w:rPr>
          <w:rFonts w:ascii="Times New Roman;Times;Serif" w:hAnsi="Times New Roman;Times;Serif"/>
          <w:b w:val="false"/>
          <w:i w:val="false"/>
          <w:caps w:val="false"/>
          <w:smallCaps w:val="false"/>
          <w:sz w:val="20"/>
        </w:rPr>
        <w:t>”) rules and any letters, filings or other supplemental information provided to FINRA pursuant to FINRA Rules or NASD Conduct Rules is true, complete and correct.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(cc)</w:t>
        <w:tab/>
      </w:r>
      <w:r>
        <w:rPr>
          <w:rFonts w:ascii="Times New Roman;Times;Serif" w:hAnsi="Times New Roman;Times;Serif"/>
          <w:b/>
          <w:i/>
          <w:caps w:val="false"/>
          <w:smallCaps w:val="false"/>
          <w:sz w:val="20"/>
        </w:rPr>
        <w:t>No Unlawful Contributions or Other Payments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Neither the Company nor any of its subsidiaries nor, to the best of the Company’s knowledge, any employee or agent of the Company or any subsidiary, has made any contribution or other payment to any official of, or candidate for, any federal, state or foreign office in violation of any law or of the character required to be disclosed in the Registration Statement, the Time of Sale Prospectus or the Prospectus.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(dd)</w:t>
        <w:tab/>
      </w:r>
      <w:r>
        <w:rPr>
          <w:rFonts w:ascii="Times New Roman;Times;Serif" w:hAnsi="Times New Roman;Times;Serif"/>
          <w:b/>
          <w:i/>
          <w:caps w:val="false"/>
          <w:smallCaps w:val="false"/>
          <w:sz w:val="20"/>
        </w:rPr>
        <w:t>Compliance with Environmental Laws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Except as could not be expected, individually or in the aggregate, to result in a Material Adverse Change: (i) neither the Company nor any of its subsidiaries is in violation of any federal, state, local or foreign statute, law, rule, regulation, ordinance, code, policy or rule of common law or any judicial or administrative interpretation thereof, including any judicial or administrative order, consent, decree or judgment, relating to pollution or protection of human health, the environment (including, without limitation, ambient air, surface water, groundwater, land surface or subsurface strata) or wildlife, including, without limitation, laws and regulations relating to the release or threatened release of chemicals, pollutants, contaminants, wastes, toxic substances, hazardous substances, petroleum or petroleum products (collectively, “</w:t>
      </w:r>
      <w:r>
        <w:rPr>
          <w:rFonts w:ascii="Times New Roman;Times;Serif" w:hAnsi="Times New Roman;Times;Serif"/>
          <w:b/>
          <w:i w:val="false"/>
          <w:caps w:val="false"/>
          <w:smallCaps w:val="false"/>
          <w:sz w:val="20"/>
        </w:rPr>
        <w:t>Hazardous Materials</w:t>
      </w:r>
      <w:r>
        <w:rPr>
          <w:rFonts w:ascii="Times New Roman;Times;Serif" w:hAnsi="Times New Roman;Times;Serif"/>
          <w:b w:val="false"/>
          <w:i w:val="false"/>
          <w:caps w:val="false"/>
          <w:smallCaps w:val="false"/>
          <w:sz w:val="20"/>
        </w:rPr>
        <w:t>”) or to the manufacture, processing, distribution, use, treatment, storage, disposal, transport or handling of Hazardous Materials (collectively, “</w:t>
      </w:r>
      <w:r>
        <w:rPr>
          <w:rFonts w:ascii="Times New Roman;Times;Serif" w:hAnsi="Times New Roman;Times;Serif"/>
          <w:b/>
          <w:i w:val="false"/>
          <w:caps w:val="false"/>
          <w:smallCaps w:val="false"/>
          <w:sz w:val="20"/>
        </w:rPr>
        <w:t>Environmental Laws</w:t>
      </w:r>
      <w:r>
        <w:rPr>
          <w:rFonts w:ascii="Times New Roman;Times;Serif" w:hAnsi="Times New Roman;Times;Serif"/>
          <w:b w:val="false"/>
          <w:i w:val="false"/>
          <w:caps w:val="false"/>
          <w:smallCaps w:val="false"/>
          <w:sz w:val="20"/>
        </w:rPr>
        <w:t>”); (ii) the Company and its subsidiaries have all permits, authorizations and approvals required under any applicable Environmental Laws and are each in compliance with their requirements; (iii) there are no pending or threatened administrative, regulatory or judicial actions, suits, demands, demand letters, claims, liens, notices of noncompliance or violation, investigation or proceedings relating to any Environmental Law against the Company or any of its subsidiaries; and (iv) there are no events or circumstances that might reasonably be expected to form the basis of an order for clean-up or remediation, or an action, suit or proceeding by any private party or governmental body or agency, against or affecting the Company or any of its subsidiaries relating to Hazardous Materials or any Environmental Laws.</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(ee)</w:t>
        <w:tab/>
      </w:r>
      <w:r>
        <w:rPr>
          <w:rFonts w:ascii="Times New Roman;Times;Serif" w:hAnsi="Times New Roman;Times;Serif"/>
          <w:b/>
          <w:i/>
          <w:caps w:val="false"/>
          <w:smallCaps w:val="false"/>
          <w:sz w:val="20"/>
        </w:rPr>
        <w:t>Brokers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Except pursuant to this Agreement, there is no broker, finder or other party that is entitled to receive from the Company any brokerage or finder’s fee or other fee or commission as a result of any transactions contemplated by this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(ff)</w:t>
        <w:tab/>
      </w:r>
      <w:r>
        <w:rPr>
          <w:rFonts w:ascii="Times New Roman;Times;Serif" w:hAnsi="Times New Roman;Times;Serif"/>
          <w:b/>
          <w:i/>
          <w:caps w:val="false"/>
          <w:smallCaps w:val="false"/>
          <w:sz w:val="20"/>
        </w:rPr>
        <w:t>Reserved.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(gg)</w:t>
        <w:tab/>
      </w:r>
      <w:r>
        <w:rPr>
          <w:rFonts w:ascii="Times New Roman;Times;Serif" w:hAnsi="Times New Roman;Times;Serif"/>
          <w:b/>
          <w:i/>
          <w:caps w:val="false"/>
          <w:smallCaps w:val="false"/>
          <w:sz w:val="20"/>
        </w:rPr>
        <w:t>Anti-Corruption and Anti-Bribery Laws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Company nor any of its subsidiaries nor any director, officer, or employee of the Company or any of its subsidiaries, nor to the knowledge of the Company, any agent, affiliate or other person acting on behalf of the Company or any of its subsidiaries has, in the course of its actions for, or on behalf of, the Company or any of its subsidiaries (i) used any corporate funds for any unlawful contribution, gift, entertainment or other unlawful expenses relating to political activity; (ii) made or taken any act in furtherance of an offer, promise, or authorization of any direct or indirect unlawful payment or benefit to any foreign or domestic government official or employee, including of any government-owned or controlled entity or public international organization, or any political party, party official, or candidate for political office; (iii) violated or is in violation of any provision of the U.S. Foreign Corrupt Practices Act of 1977, as amended (the “</w:t>
      </w:r>
      <w:r>
        <w:rPr>
          <w:rFonts w:ascii="Times New Roman;Times;Serif" w:hAnsi="Times New Roman;Times;Serif"/>
          <w:b/>
          <w:i w:val="false"/>
          <w:caps w:val="false"/>
          <w:smallCaps w:val="false"/>
          <w:sz w:val="20"/>
        </w:rPr>
        <w:t>FCPA</w:t>
      </w:r>
      <w:r>
        <w:rPr>
          <w:rFonts w:ascii="Times New Roman;Times;Serif" w:hAnsi="Times New Roman;Times;Serif"/>
          <w:b w:val="false"/>
          <w:i w:val="false"/>
          <w:caps w:val="false"/>
          <w:smallCaps w:val="false"/>
          <w:sz w:val="20"/>
        </w:rPr>
        <w:t>”), the UK Bribery Act 2010, or any other applicable anti-bribery or anti-corruption law; or (iv) made, offered, authorized, requested, or taken an act in furtherance of any unlawful bribe, rebate, payoff, influence payment, kickback or other unlawful payment or benefit. The Company and its subsidiaries and the Company’s affiliates have conducted their respective businesses in compliance with the FCPA and have instituted and maintain policies and procedures designed to ensure, and which are reasonably expected to continue to ensure, continued compliance therewith.</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(hh)</w:t>
        <w:tab/>
      </w:r>
      <w:r>
        <w:rPr>
          <w:rFonts w:ascii="Times New Roman;Times;Serif" w:hAnsi="Times New Roman;Times;Serif"/>
          <w:b/>
          <w:i/>
          <w:caps w:val="false"/>
          <w:smallCaps w:val="false"/>
          <w:sz w:val="20"/>
        </w:rPr>
        <w:t>Money Laundering Laws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operations of the Company and its subsidiaries are, and have been conducted at all times, in compliance with applicable financial recordkeeping and reporting requirements of the Currency and Foreign Transactions Reporting Act of 1970, as amended, the money laundering statutes of all applicable jurisdictions, the rules and regulations thereunder and any related or similar applicable rules, regulations or guidelines, issued, administered or enforced by any governmental agency (collectively, the “</w:t>
      </w:r>
      <w:r>
        <w:rPr>
          <w:rFonts w:ascii="Times New Roman;Times;Serif" w:hAnsi="Times New Roman;Times;Serif"/>
          <w:b/>
          <w:i w:val="false"/>
          <w:caps w:val="false"/>
          <w:smallCaps w:val="false"/>
          <w:sz w:val="20"/>
        </w:rPr>
        <w:t>Money Laundering Laws</w:t>
      </w:r>
      <w:r>
        <w:rPr>
          <w:rFonts w:ascii="Times New Roman;Times;Serif" w:hAnsi="Times New Roman;Times;Serif"/>
          <w:b w:val="false"/>
          <w:i w:val="false"/>
          <w:caps w:val="false"/>
          <w:smallCaps w:val="false"/>
          <w:sz w:val="20"/>
        </w:rPr>
        <w:t>”) and no action, suit or proceeding by or before any court or governmental agency, authority or body or any arbitrator involving the Company or any of its subsidiaries with respect to the Money Laundering Laws is pending or, to the knowledge of the Company, threatened.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(ii)</w:t>
        <w:tab/>
      </w:r>
      <w:r>
        <w:rPr>
          <w:rFonts w:ascii="Times New Roman;Times;Serif" w:hAnsi="Times New Roman;Times;Serif"/>
          <w:b/>
          <w:i/>
          <w:caps w:val="false"/>
          <w:smallCaps w:val="false"/>
          <w:sz w:val="20"/>
        </w:rPr>
        <w:t>Clinical Data and Regulatory Compliance.</w:t>
      </w:r>
      <w:r>
        <w:rPr>
          <w:rFonts w:ascii="Times New Roman;Times;Serif" w:hAnsi="Times New Roman;Times;Serif"/>
          <w:b w:val="false"/>
          <w:i w:val="false"/>
          <w:caps w:val="false"/>
          <w:smallCaps w:val="false"/>
          <w:sz w:val="20"/>
        </w:rPr>
        <w:t xml:space="preserve"> The preclinical tests and clinical trials, and other studies (collectively, “</w:t>
      </w:r>
      <w:r>
        <w:rPr>
          <w:rFonts w:ascii="Times New Roman;Times;Serif" w:hAnsi="Times New Roman;Times;Serif"/>
          <w:b/>
          <w:i w:val="false"/>
          <w:caps w:val="false"/>
          <w:smallCaps w:val="false"/>
          <w:sz w:val="20"/>
        </w:rPr>
        <w:t>studies</w:t>
      </w:r>
      <w:r>
        <w:rPr>
          <w:rFonts w:ascii="Times New Roman;Times;Serif" w:hAnsi="Times New Roman;Times;Serif"/>
          <w:b w:val="false"/>
          <w:i w:val="false"/>
          <w:caps w:val="false"/>
          <w:smallCaps w:val="false"/>
          <w:sz w:val="20"/>
        </w:rPr>
        <w:t>”) that are described in, or the results of which are referred to in, the Registration Statement, the Time of Sale Prospectus or the Prospectus were and, if still pending, are being conducted in all material respects in accordance with the applicable laws, protocols, procedures and controls designed and approved for such studies and with standard medical and scientific research procedures; each description of the results of such studies is accurate and complete in all material respects and fairly presents the data derived from such studies, and the Company and its subsidiaries have no knowledge of any other studies the results of which are inconsistent with, or otherwise call into question, the results described or referred to in the Registration Statement, the Time of Sale Prospectuses or the Prospectus; the Company and its subsidiaries have made all such filings and obtained all such approvals as may be required by the Food and Drug Administration of the U.S. Department of Health and Human Services or any committee thereof or from any other U.S. or foreign government or drug or medical device regulatory agency, or health care facility Institutional Review Board or Ethics Committee (collectively, the “</w:t>
      </w:r>
      <w:r>
        <w:rPr>
          <w:rFonts w:ascii="Times New Roman;Times;Serif" w:hAnsi="Times New Roman;Times;Serif"/>
          <w:b/>
          <w:i w:val="false"/>
          <w:caps w:val="false"/>
          <w:smallCaps w:val="false"/>
          <w:sz w:val="20"/>
        </w:rPr>
        <w:t>Regulatory Agencies</w:t>
      </w:r>
      <w:r>
        <w:rPr>
          <w:rFonts w:ascii="Times New Roman;Times;Serif" w:hAnsi="Times New Roman;Times;Serif"/>
          <w:b w:val="false"/>
          <w:i w:val="false"/>
          <w:caps w:val="false"/>
          <w:smallCaps w:val="false"/>
          <w:sz w:val="20"/>
        </w:rPr>
        <w:t>”); neither the Company nor any of its subsidiaries has received any notice of, or correspondence from, any Regulatory Agency requiring the termination, suspension or modification of any clinical trials that are described or referred to in the Registration Statement, the Time of Sale Prospectus or the Prospectus; and the Company and its subsidiaries have each operated and currently are in compliance in all material respects with all applicable rules, regulations and policies of the Regulatory Agencies.</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(jj)</w:t>
        <w:tab/>
      </w:r>
      <w:r>
        <w:rPr>
          <w:rFonts w:ascii="Times New Roman;Times;Serif" w:hAnsi="Times New Roman;Times;Serif"/>
          <w:b/>
          <w:i/>
          <w:caps w:val="false"/>
          <w:smallCaps w:val="false"/>
          <w:sz w:val="20"/>
        </w:rPr>
        <w:t>Sanctions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Neither the Company nor any of its subsidiaries, directors, officers, or employees, nor, to the knowledge of the Company, after due inquiry, any agent, affiliate or other person acting on behalf of the Company or any of its subsidiaries is currently the subject or the target of any U.S. sanctions administered by the Office of Foreign Assets Control of the U.S. Department of the Treasury (“</w:t>
      </w:r>
      <w:r>
        <w:rPr>
          <w:rFonts w:ascii="Times New Roman;Times;Serif" w:hAnsi="Times New Roman;Times;Serif"/>
          <w:b/>
          <w:i w:val="false"/>
          <w:caps w:val="false"/>
          <w:smallCaps w:val="false"/>
          <w:sz w:val="20"/>
        </w:rPr>
        <w:t>OFAC</w:t>
      </w:r>
      <w:r>
        <w:rPr>
          <w:rFonts w:ascii="Times New Roman;Times;Serif" w:hAnsi="Times New Roman;Times;Serif"/>
          <w:b w:val="false"/>
          <w:i w:val="false"/>
          <w:caps w:val="false"/>
          <w:smallCaps w:val="false"/>
          <w:sz w:val="20"/>
        </w:rPr>
        <w:t>”) or the U.S. Department of State, the United Nations Security Council, the European Union, His Majesty’s Treasury of the United Kingdom, or other relevant foreign sanctions authority (collectively, “</w:t>
      </w:r>
      <w:r>
        <w:rPr>
          <w:rFonts w:ascii="Times New Roman;Times;Serif" w:hAnsi="Times New Roman;Times;Serif"/>
          <w:b/>
          <w:i w:val="false"/>
          <w:caps w:val="false"/>
          <w:smallCaps w:val="false"/>
          <w:sz w:val="20"/>
        </w:rPr>
        <w:t>Sanctions</w:t>
      </w:r>
      <w:r>
        <w:rPr>
          <w:rFonts w:ascii="Times New Roman;Times;Serif" w:hAnsi="Times New Roman;Times;Serif"/>
          <w:b w:val="false"/>
          <w:i w:val="false"/>
          <w:caps w:val="false"/>
          <w:smallCaps w:val="false"/>
          <w:sz w:val="20"/>
        </w:rPr>
        <w:t>”); nor is the Company or any of its subsidiaries located, organized or resident in a country or territory that is the subject or the target of Sanctions, including, without limitation, the Crimea region, the non-government controlled areas of Zaporizhzhia and Kherson Regions of Ukraine (or any other Covered Region of Ukraine identified pursuant to Executive Order 14065), the so-called Donetsk People’s Republic, the so-called Luhansk People’s Republic, Cuba, Iran, North Korea and Syria; and the Company will not directly or indirectly use the proceeds of this offering, or lend, contribute or otherwise make available such proceeds to any subsidiary, or any joint venture partner or other person or entity, for the purpose of financing the activities of or business with any person, or in any country or territory, that at the time of such financing, is the subject or the target of Sanctions in violation of applicable Sanctions, or in any other manner that will result in a violation by any person (including any person participating in the transaction whether as underwriter, advisor, investor or otherwise) of applicable Sanctions. Since April 24, 2019, the Company and its subsidiaries have not knowingly engaged in and are not now knowingly engaged in any dealings or transactions with any person that at the time of the dealing or transaction is or was the subject or the target of Sanctions or with any Sanctioned Country in violation of applicable Sanctions.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(kk) </w:t>
      </w:r>
      <w:r>
        <w:rPr>
          <w:rFonts w:ascii="Times New Roman;Times;Serif" w:hAnsi="Times New Roman;Times;Serif"/>
          <w:b/>
          <w:i/>
          <w:caps w:val="false"/>
          <w:smallCaps w:val="false"/>
          <w:sz w:val="20"/>
        </w:rPr>
        <w:t>Sarbanes-Oxley Act.</w:t>
      </w:r>
      <w:r>
        <w:rPr>
          <w:rFonts w:ascii="Times New Roman;Times;Serif" w:hAnsi="Times New Roman;Times;Serif"/>
          <w:b w:val="false"/>
          <w:i w:val="false"/>
          <w:caps w:val="false"/>
          <w:smallCaps w:val="false"/>
          <w:sz w:val="20"/>
        </w:rPr>
        <w:t xml:space="preserve"> The Company is in compliance with all applicable provisions of the Sarbanes-Oxley Act of 2002 and the rules and regulations promulgated thereunder.</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(ll)</w:t>
        <w:tab/>
      </w:r>
      <w:r>
        <w:rPr>
          <w:rFonts w:ascii="Times New Roman;Times;Serif" w:hAnsi="Times New Roman;Times;Serif"/>
          <w:b/>
          <w:i/>
          <w:caps w:val="false"/>
          <w:smallCaps w:val="false"/>
          <w:sz w:val="20"/>
        </w:rPr>
        <w:t>Cybersecurity</w:t>
      </w:r>
      <w:r>
        <w:rPr>
          <w:rFonts w:ascii="Times New Roman;Times;Serif" w:hAnsi="Times New Roman;Times;Serif"/>
          <w:b w:val="false"/>
          <w:i w:val="false"/>
          <w:caps w:val="false"/>
          <w:smallCaps w:val="false"/>
          <w:sz w:val="20"/>
        </w:rPr>
        <w:t>. The Company and its subsidiaries’ information technology assets and equipment, computers, systems, networks, hardware, software, websites, applications, and databases (collectively, “</w:t>
      </w:r>
      <w:r>
        <w:rPr>
          <w:rFonts w:ascii="Times New Roman;Times;Serif" w:hAnsi="Times New Roman;Times;Serif"/>
          <w:b/>
          <w:i w:val="false"/>
          <w:caps w:val="false"/>
          <w:smallCaps w:val="false"/>
          <w:sz w:val="20"/>
        </w:rPr>
        <w:t>IT Systems</w:t>
      </w:r>
      <w:r>
        <w:rPr>
          <w:rFonts w:ascii="Times New Roman;Times;Serif" w:hAnsi="Times New Roman;Times;Serif"/>
          <w:b w:val="false"/>
          <w:i w:val="false"/>
          <w:caps w:val="false"/>
          <w:smallCaps w:val="false"/>
          <w:sz w:val="20"/>
        </w:rPr>
        <w:t>”) are adequate for, and operate and perform in all material respects as required in connection with the operation of the business of the Company and its subsidiaries as currently conducted, free and clear of all material bugs, errors, defects, Trojan horses, time bombs, malware and other corruptants. The Company and its subsidiaries have implemented and maintained commercially reasonable physical, technical and administrative controls, policies, procedures, and safeguards to maintain and protect their material confidential information and the integrity, continuous operation, redundancy and security of all IT Systems and data, including “Personal Data,” used in connection with their businesses. “</w:t>
      </w:r>
      <w:r>
        <w:rPr>
          <w:rFonts w:ascii="Times New Roman;Times;Serif" w:hAnsi="Times New Roman;Times;Serif"/>
          <w:b/>
          <w:i w:val="false"/>
          <w:caps w:val="false"/>
          <w:smallCaps w:val="false"/>
          <w:sz w:val="20"/>
        </w:rPr>
        <w:t>Personal Data</w:t>
      </w:r>
      <w:r>
        <w:rPr>
          <w:rFonts w:ascii="Times New Roman;Times;Serif" w:hAnsi="Times New Roman;Times;Serif"/>
          <w:b w:val="false"/>
          <w:i w:val="false"/>
          <w:caps w:val="false"/>
          <w:smallCaps w:val="false"/>
          <w:sz w:val="20"/>
        </w:rPr>
        <w:t>” means (i) a natural person’s name, street address, telephone number, e-mail address, photograph, social security number or tax identification number, driver’s license number, passport number, credit card number, bank information, or customer or account number; (ii) any information which would qualify as “personally identifying information” under the Federal Trade Commission Act, as amended; (iii) “personal data” as defined by GDPR; (iv) any information which would qualify as “protected health information” under the Health Insurance Portability and Accountability Act of 1996, as amended by the Health Information Technology for Economic and Clinical Health Act (collectively, “</w:t>
      </w:r>
      <w:r>
        <w:rPr>
          <w:rFonts w:ascii="Times New Roman;Times;Serif" w:hAnsi="Times New Roman;Times;Serif"/>
          <w:b/>
          <w:i w:val="false"/>
          <w:caps w:val="false"/>
          <w:smallCaps w:val="false"/>
          <w:sz w:val="20"/>
        </w:rPr>
        <w:t>HIPAA</w:t>
      </w:r>
      <w:r>
        <w:rPr>
          <w:rFonts w:ascii="Times New Roman;Times;Serif" w:hAnsi="Times New Roman;Times;Serif"/>
          <w:b w:val="false"/>
          <w:i w:val="false"/>
          <w:caps w:val="false"/>
          <w:smallCaps w:val="false"/>
          <w:sz w:val="20"/>
        </w:rPr>
        <w:t>”); and (v) any other piece of information that allows the identification of such natural person, or his or her family, or permits the collection or analysis of any data related to an identified person’s health or sexual orientation. There have been no breaches, violations, outages or unauthorized uses of or accesses to same, except for those that have been remedied without material cost or liability or the duty to notify any other person, nor any incidents under internal review or investigations relating to the same. The Company and its subsidiaries are presently in material compliance with all applicable laws or statutes and all judgments, orders, rules and regulations of any court or arbitrator or governmental or regulatory authority, internal policies and contractual obligations relating to the privacy and security of IT Systems and Personal Data and to the protection of such IT Systems and Personal Data from unauthorized use, access, misappropriation or modification.</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(mm)</w:t>
        <w:tab/>
      </w:r>
      <w:r>
        <w:rPr>
          <w:rFonts w:ascii="Times New Roman;Times;Serif" w:hAnsi="Times New Roman;Times;Serif"/>
          <w:b/>
          <w:i/>
          <w:caps w:val="false"/>
          <w:smallCaps w:val="false"/>
          <w:sz w:val="20"/>
        </w:rPr>
        <w:t>Compliance with Data Privacy Laws</w:t>
      </w:r>
      <w:r>
        <w:rPr>
          <w:rFonts w:ascii="Times New Roman;Times;Serif" w:hAnsi="Times New Roman;Times;Serif"/>
          <w:b w:val="false"/>
          <w:i w:val="false"/>
          <w:caps w:val="false"/>
          <w:smallCaps w:val="false"/>
          <w:sz w:val="20"/>
        </w:rPr>
        <w:t>. The Company and its subsidiaries are, and at all prior times were, in material compliance with all applicable state and federal data privacy and security laws and regulations, including without limitation HIPAA, and the Company and its subsidiaries have taken commercially reasonable actions to prepare to comply with, and since May 25, 2018, have been and currently are in compliance with, the European Union General Data Protection Regulation (“</w:t>
      </w:r>
      <w:r>
        <w:rPr>
          <w:rFonts w:ascii="Times New Roman;Times;Serif" w:hAnsi="Times New Roman;Times;Serif"/>
          <w:b/>
          <w:i w:val="false"/>
          <w:caps w:val="false"/>
          <w:smallCaps w:val="false"/>
          <w:sz w:val="20"/>
        </w:rPr>
        <w:t>GDPR</w:t>
      </w:r>
      <w:r>
        <w:rPr>
          <w:rFonts w:ascii="Times New Roman;Times;Serif" w:hAnsi="Times New Roman;Times;Serif"/>
          <w:b w:val="false"/>
          <w:i w:val="false"/>
          <w:caps w:val="false"/>
          <w:smallCaps w:val="false"/>
          <w:sz w:val="20"/>
        </w:rPr>
        <w:t>”) (EU 2016/679) (collectively, the “</w:t>
      </w:r>
      <w:r>
        <w:rPr>
          <w:rFonts w:ascii="Times New Roman;Times;Serif" w:hAnsi="Times New Roman;Times;Serif"/>
          <w:b/>
          <w:i w:val="false"/>
          <w:caps w:val="false"/>
          <w:smallCaps w:val="false"/>
          <w:sz w:val="20"/>
        </w:rPr>
        <w:t>Privacy Laws</w:t>
      </w:r>
      <w:r>
        <w:rPr>
          <w:rFonts w:ascii="Times New Roman;Times;Serif" w:hAnsi="Times New Roman;Times;Serif"/>
          <w:b w:val="false"/>
          <w:i w:val="false"/>
          <w:caps w:val="false"/>
          <w:smallCaps w:val="false"/>
          <w:sz w:val="20"/>
        </w:rPr>
        <w:t>”). To ensure compliance with the Privacy Laws, the Company and its subsidiaries have in place, comply with, and take appropriate steps reasonably designed to ensure compliance in all material respects with their policies and procedures relating to data privacy and security and the collection, storage, use, disclosure, handling, and analysis of Personal Data (the “</w:t>
      </w:r>
      <w:r>
        <w:rPr>
          <w:rFonts w:ascii="Times New Roman;Times;Serif" w:hAnsi="Times New Roman;Times;Serif"/>
          <w:b/>
          <w:i w:val="false"/>
          <w:caps w:val="false"/>
          <w:smallCaps w:val="false"/>
          <w:sz w:val="20"/>
        </w:rPr>
        <w:t>Policies</w:t>
      </w:r>
      <w:r>
        <w:rPr>
          <w:rFonts w:ascii="Times New Roman;Times;Serif" w:hAnsi="Times New Roman;Times;Serif"/>
          <w:b w:val="false"/>
          <w:i w:val="false"/>
          <w:caps w:val="false"/>
          <w:smallCaps w:val="false"/>
          <w:sz w:val="20"/>
        </w:rPr>
        <w:t>”). The Company and its subsidiaries have at all times made all disclosures to users or customers required by applicable laws and regulatory rules or requirements, and none of such disclosures made or contained in any Policy have, to the knowledge of the Company, been inaccurate or in material violation of any applicable laws and regulatory rules or requirements in any material respect. The Company further certifies that neither it nor any subsidiary: (i) has received notice of any actual or potential liability under or relating to, or actual or potential violation of, any of the Privacy Laws, and has no knowledge of any event or condition that would reasonably be expected to result in any such notice; (ii) is currently conducting or paying for, in whole or in part, any investigation, remediation, or other corrective action pursuant to any Privacy Law; or (iii) is a party to any order, decree, or agreement that imposes any obligation or liability under any Privacy Law.</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(nn)</w:t>
        <w:tab/>
      </w:r>
      <w:r>
        <w:rPr>
          <w:rFonts w:ascii="Times New Roman;Times;Serif" w:hAnsi="Times New Roman;Times;Serif"/>
          <w:b/>
          <w:i/>
          <w:caps w:val="false"/>
          <w:smallCaps w:val="false"/>
          <w:sz w:val="20"/>
        </w:rPr>
        <w:t xml:space="preserve">Medicare and Medicaid Programs. </w:t>
      </w:r>
      <w:r>
        <w:rPr>
          <w:rFonts w:ascii="Times New Roman;Times;Serif" w:hAnsi="Times New Roman;Times;Serif"/>
          <w:b w:val="false"/>
          <w:i w:val="false"/>
          <w:caps w:val="false"/>
          <w:smallCaps w:val="false"/>
          <w:sz w:val="20"/>
        </w:rPr>
        <w:t>To the extent required in connection with their respective businesses, each of the Company and its subsidiaries has the requisite provider number or other authorization to bill the Medicare program and the respective Medicaid program in the state or states in which such entity operates unless failure to maintain such provider number or other authorization could not be expected, individually or in the aggregate, to result in a Material Adverse Change; neither the Company nor any of its subsidiaries is subject to any pending or, to the Company’s knowledge, threatened or contemplated action which could reasonably be expected to result either in a revocation of any provider number or authorization or in the Company’s or any subsidiary’s exclusion from the Medicare or any state Medicaid programs; the Company’s and each of its subsidiaries’ business practices have been structured in a manner reasonably designed to comply with the federal or state laws governing Medicare and state Medicaid programs, including, without limitation, Sections 1320a-7a and 1320a-7b of Title 42 of the United States Code, and the Company reasonably believes that it is in material compliance with such laws; the Company and its subsidiaries have taken reasonable actions designed to ensure that they do not: (i) violate the False Claims Act, 31 U.S.C. §§ 3729-3733 or (ii) allow any individual with an ownership or control interest (as defined in 42 U.S.C. § 1320a-3(a)(3)) in the Company or any of its subsidiary or have any officer, director or managing employee (as defined in 42 U.S.C. § 1320a-5(b)) of the Company or any of its subsidiaries who would be a person excluded from participation in any federal health care program (as defined in 42 U.S.C. § 1320a-7b(f)) as described in 42 U.S.C. § 1320a-7(b)(8); and the Company and its subsidiaries have structured their respective businesses practices in a manner reasonably designed to comply with the federal and state laws regarding physician ownership of (or financial relationship with), and referral to, entities providing healthcare-related goods or services, and with laws requiring disclosure of financial interests held by physicians in entities to which they may refer patients for the provisions of healthcare-related goods or services, and the Company reasonably believes that it and its subsidiaries are in material compliance with such laws.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(oo)</w:t>
        <w:tab/>
      </w:r>
      <w:r>
        <w:rPr>
          <w:rFonts w:ascii="Times New Roman;Times;Serif" w:hAnsi="Times New Roman;Times;Serif"/>
          <w:b/>
          <w:i/>
          <w:caps w:val="false"/>
          <w:smallCaps w:val="false"/>
          <w:sz w:val="20"/>
        </w:rPr>
        <w:t>Compliance with Health Care Laws</w:t>
      </w:r>
      <w:r>
        <w:rPr>
          <w:rFonts w:ascii="Times New Roman;Times;Serif" w:hAnsi="Times New Roman;Times;Serif"/>
          <w:b w:val="false"/>
          <w:i w:val="false"/>
          <w:caps w:val="false"/>
          <w:smallCaps w:val="false"/>
          <w:sz w:val="20"/>
        </w:rPr>
        <w:t>. The Company and its subsidiaries are, and at all times within the last six years have been, in material compliance with all Health Care Laws. For purposes of this Agreement, “</w:t>
      </w:r>
      <w:r>
        <w:rPr>
          <w:rFonts w:ascii="Times New Roman;Times;Serif" w:hAnsi="Times New Roman;Times;Serif"/>
          <w:b/>
          <w:i w:val="false"/>
          <w:caps w:val="false"/>
          <w:smallCaps w:val="false"/>
          <w:sz w:val="20"/>
        </w:rPr>
        <w:t>Health Care Laws</w:t>
      </w:r>
      <w:r>
        <w:rPr>
          <w:rFonts w:ascii="Times New Roman;Times;Serif" w:hAnsi="Times New Roman;Times;Serif"/>
          <w:b w:val="false"/>
          <w:i w:val="false"/>
          <w:caps w:val="false"/>
          <w:smallCaps w:val="false"/>
          <w:sz w:val="20"/>
        </w:rPr>
        <w:t>” means: (i) the Federal Food, Drug, and Cosmetic Act (21 U.S.C. Section 301 et seq.), the Public Health Service Act (42 U.S.C. Section 201 et seq.), and the regulations promulgated thereunder; (ii) all applicable federal, state, local and foreign health care fraud and abuse laws, including, without limitation, the Anti-Kickback Statute (42 U.S.C. Section 1320a-7b(b)), the Civil</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False Claims Act (31 U.S.C. Section 3729 et seq.), the criminal false statements law (42 U.S.C. Section 1320a-7b(a)), 18 U.S.C. Sections 286 and 287, the health care fraud criminal provisions under HIPAA, the Stark Law (42 U.S.C. Section 1395nn), the civil monetary penalties law (42 U.S.C. Section 1320a-7a), the exclusion law (42 U.S.C. Section 1320a-7), the Physician Payments Sunshine Act (42 U.S.C. Section 1320-7h), and applicable laws governing government funded or sponsored healthcare programs; (iii) HIPAA, as amended by the Health Information Technology for Economic and Clinical Health Act (42 U.S.C. Section 17921 et seq.); (iv) the Patient Protection and Affordable Care Act of 2010, as amended by the Health Care and Education Reconciliation Act of 2010; (v) licensure, quality, safety and accreditation requirements under applicable federal, state, local or foreign laws or regulatory bodies; (vi) the collection and reporting requirements, and the processing of any applicable rebate, chargeback or adjustment, under applicable rules and regulations relating to the Medicaid Drug Rebate Program (42 U.S.C. § 1396r-8) and any state supplemental rebate program, state drug price transparency law, Medicare average sales price reporting (42 U.S.C. § 1395w-3a), the Public Health Service Act (42 U.S.C. § 256b), the federal TRICARE program (10 U.S.C. §§ 1071 et seq.), the VA Federal Supply Schedule (38 U.S.C. § 8126) or under any state pharmaceutical assistance program or U.S. Department of Veterans Affairs agreement, (vii) all other local, state, federal, national, supranational and foreign laws, relating to the regulation of the Company or its subsidiaries, and (viii) the directives and regulations promulgated pursuant to such statutes and any state or non-U.S. counterpart thereof. Neither the Company nor any of its subsidiaries has received written notice of any claim, action, suit, proceeding, hearing, enforcement, investigation, arbitration or other action from any court or arbitrator or governmental or regulatory authority or third party alleging that any product operation or activity is in violation of any Health Care Laws nor, to the Company’s knowledge, is any such claim, action, suit, proceeding, hearing, enforcement, investigation, arbitration or other action threatened. The Company and its subsidiaries have filed, maintained or submitted all material reports, documents, forms, notices, applications, records, claims, submissions and supplements or amendments as required by any Health Care Laws, and all such reports, documents, forms, notices, applications, records, claims, submissions and supplements or amendments were complete and accurate on the date filed in all material respects (or were corrected or supplemented by a subsequent submission). Neither the Company nor any of its subsidiaries is a party to any corporate integrity agreements, monitoring agreements, consent decrees, settlement orders, or similar agreements with or imposed by any governmental or regulatory authority. Additionally, neither the Company, any of its subsidiaries nor any of their respective employees, officers, directors, or agents has been excluded, suspended or debarred from participation in any U.S. federal health care program or human clinical research or, to the knowledge of the Company, is subject to a governmental inquiry, investigation, proceeding, or other similar action that could reasonably be expected to result in debarment, suspension, or exclusion.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(pp)</w:t>
        <w:tab/>
      </w:r>
      <w:r>
        <w:rPr>
          <w:rFonts w:ascii="Times New Roman;Times;Serif" w:hAnsi="Times New Roman;Times;Serif"/>
          <w:b/>
          <w:i/>
          <w:caps w:val="false"/>
          <w:smallCaps w:val="false"/>
          <w:sz w:val="20"/>
        </w:rPr>
        <w:t xml:space="preserve">Validity of Choice of Law. </w:t>
      </w:r>
      <w:r>
        <w:rPr>
          <w:rFonts w:ascii="Times New Roman;Times;Serif" w:hAnsi="Times New Roman;Times;Serif"/>
          <w:b w:val="false"/>
          <w:i w:val="false"/>
          <w:caps w:val="false"/>
          <w:smallCaps w:val="false"/>
          <w:sz w:val="20"/>
        </w:rPr>
        <w:t>The choice of law of the State of New York as the governing law of this Agreement is a valid choice of law under the laws of Luxembourg and will be recognized by courts in Luxembourg, except that a Luxembourg court may refuse to apply the law of the State of New York if, amongst others, such law is contrary to overriding mandatory provisions (</w:t>
      </w:r>
      <w:r>
        <w:rPr>
          <w:rFonts w:ascii="Times New Roman;Times;Serif" w:hAnsi="Times New Roman;Times;Serif"/>
          <w:b w:val="false"/>
          <w:i/>
          <w:caps w:val="false"/>
          <w:smallCaps w:val="false"/>
          <w:sz w:val="20"/>
        </w:rPr>
        <w:t>lois de police</w:t>
      </w:r>
      <w:r>
        <w:rPr>
          <w:rFonts w:ascii="Times New Roman;Times;Serif" w:hAnsi="Times New Roman;Times;Serif"/>
          <w:b w:val="false"/>
          <w:i w:val="false"/>
          <w:caps w:val="false"/>
          <w:smallCaps w:val="false"/>
          <w:sz w:val="20"/>
        </w:rPr>
        <w:t>) of Luxembourg or such law would be manifestly incompatible with the public policy (</w:t>
      </w:r>
      <w:r>
        <w:rPr>
          <w:rFonts w:ascii="Times New Roman;Times;Serif" w:hAnsi="Times New Roman;Times;Serif"/>
          <w:b w:val="false"/>
          <w:i/>
          <w:caps w:val="false"/>
          <w:smallCaps w:val="false"/>
          <w:sz w:val="20"/>
        </w:rPr>
        <w:t>ordre public</w:t>
      </w:r>
      <w:r>
        <w:rPr>
          <w:rFonts w:ascii="Times New Roman;Times;Serif" w:hAnsi="Times New Roman;Times;Serif"/>
          <w:b w:val="false"/>
          <w:i w:val="false"/>
          <w:caps w:val="false"/>
          <w:smallCaps w:val="false"/>
          <w:sz w:val="20"/>
        </w:rPr>
        <w:t>) of Luxembourg. The Company has the power to submit, and pursuant to Section 19 of this Agreement, has legally, validly, effectively and irrevocably submitted, to the personal jurisdiction of each United States federal court and New York state court located in the Borough of Manhattan, in the City of New York, New York, United States (each, a “</w:t>
      </w:r>
      <w:r>
        <w:rPr>
          <w:rFonts w:ascii="Times New Roman;Times;Serif" w:hAnsi="Times New Roman;Times;Serif"/>
          <w:b/>
          <w:i w:val="false"/>
          <w:caps w:val="false"/>
          <w:smallCaps w:val="false"/>
          <w:sz w:val="20"/>
        </w:rPr>
        <w:t>New York Court</w:t>
      </w:r>
      <w:r>
        <w:rPr>
          <w:rFonts w:ascii="Times New Roman;Times;Serif" w:hAnsi="Times New Roman;Times;Serif"/>
          <w:b w:val="false"/>
          <w:i w:val="false"/>
          <w:caps w:val="false"/>
          <w:smallCaps w:val="false"/>
          <w:sz w:val="20"/>
        </w:rPr>
        <w:t xml:space="preserve">”), and the Company has the power to designate, appoint and authorize, and pursuant to Section 19 of this Agreement, has legally, validly, effectively and irrevocably designated, appointed an authorized agent for service of process in any action arising out of or relating to this Agreement or the Shares in any New York Court, and service of process effected on such authorized agent will be effective to confer valid personal jurisdiction over the Company as provided in Section 19 of this Agreement;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a contractual provision allowing the service of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process against a party to a service agent could be overridden by Luxembourg statutory provisions subject to and in accordance with the laws, rules and regulations of the country where such party is domiciled.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(qq)</w:t>
        <w:tab/>
      </w:r>
      <w:r>
        <w:rPr>
          <w:rFonts w:ascii="Times New Roman;Times;Serif" w:hAnsi="Times New Roman;Times;Serif"/>
          <w:b/>
          <w:i/>
          <w:caps w:val="false"/>
          <w:smallCaps w:val="false"/>
          <w:sz w:val="20"/>
        </w:rPr>
        <w:t xml:space="preserve">No Immunity. </w:t>
      </w:r>
      <w:r>
        <w:rPr>
          <w:rFonts w:ascii="Times New Roman;Times;Serif" w:hAnsi="Times New Roman;Times;Serif"/>
          <w:b w:val="false"/>
          <w:i w:val="false"/>
          <w:caps w:val="false"/>
          <w:smallCaps w:val="false"/>
          <w:sz w:val="20"/>
        </w:rPr>
        <w:t>Neither the Company nor the Subsidiary nor any of their properties or assets has any immunity from the jurisdiction of any court or from any legal process (whether through service or notice, attachment prior to judgment, attachment in aid of execution or otherwise), including under the laws of Luxembourg.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(rr)</w:t>
        <w:tab/>
      </w:r>
      <w:r>
        <w:rPr>
          <w:rFonts w:ascii="Times New Roman;Times;Serif" w:hAnsi="Times New Roman;Times;Serif"/>
          <w:b/>
          <w:i/>
          <w:caps w:val="false"/>
          <w:smallCaps w:val="false"/>
          <w:sz w:val="20"/>
        </w:rPr>
        <w:t xml:space="preserve">Enforcement of Judgments. </w:t>
      </w:r>
      <w:r>
        <w:rPr>
          <w:rFonts w:ascii="Times New Roman;Times;Serif" w:hAnsi="Times New Roman;Times;Serif"/>
          <w:b w:val="false"/>
          <w:i w:val="false"/>
          <w:caps w:val="false"/>
          <w:smallCaps w:val="false"/>
          <w:sz w:val="20"/>
        </w:rPr>
        <w:t>Subject to the conditions and qualifications set forth in the Registration Statement, the Time of Sale Prospectus and the Prospectus, any final judgment for a fixed sum of money rendered by a New York Court having jurisdiction under New York law in respect of any suit, action or proceeding against the Company based upon this Agreement would be recognized and enforced against the Company by Luxembourg courts, subject to the applicable enforcement (</w:t>
      </w:r>
      <w:r>
        <w:rPr>
          <w:rFonts w:ascii="Times New Roman;Times;Serif" w:hAnsi="Times New Roman;Times;Serif"/>
          <w:b w:val="false"/>
          <w:i/>
          <w:caps w:val="false"/>
          <w:smallCaps w:val="false"/>
          <w:sz w:val="20"/>
        </w:rPr>
        <w:t>exequatur</w:t>
      </w:r>
      <w:r>
        <w:rPr>
          <w:rFonts w:ascii="Times New Roman;Times;Serif" w:hAnsi="Times New Roman;Times;Serif"/>
          <w:b w:val="false"/>
          <w:i w:val="false"/>
          <w:caps w:val="false"/>
          <w:smallCaps w:val="false"/>
          <w:sz w:val="20"/>
        </w:rPr>
        <w:t>) procedure, without re-examining the merits of the case; provided that (A) such judgment is enforceable (</w:t>
      </w:r>
      <w:r>
        <w:rPr>
          <w:rFonts w:ascii="Times New Roman;Times;Serif" w:hAnsi="Times New Roman;Times;Serif"/>
          <w:b w:val="false"/>
          <w:i/>
          <w:caps w:val="false"/>
          <w:smallCaps w:val="false"/>
          <w:sz w:val="20"/>
        </w:rPr>
        <w:t>exécutoire</w:t>
      </w:r>
      <w:r>
        <w:rPr>
          <w:rFonts w:ascii="Times New Roman;Times;Serif" w:hAnsi="Times New Roman;Times;Serif"/>
          <w:b w:val="false"/>
          <w:i w:val="false"/>
          <w:caps w:val="false"/>
          <w:smallCaps w:val="false"/>
          <w:sz w:val="20"/>
        </w:rPr>
        <w:t>) in New York; (B) the New York Court awarding the judgment has jurisdiction to adjudicate the matter under applicable New York rules and according to the Luxembourg conflict of jurisdictions rules; (C) the New York Court has acted in accordance with its own procedural rules and has applied to the dispute the substantive law which would have been applied by Luxembourg courts (although some first instance decisions rendered in Luxembourg – which have not been confirmed by the Court of Appeal – no longer apply this condition); (D) the principles of fair trial and due process have been complied with and in particular such judgment was granted following proceedings where the counterparty had the opportunity to appear, and if appeared, to present a defense; (E) the judgment of the New York Court must not infringe the exclusive jurisdiction of the Luxembourg courts and there must be a real link (</w:t>
      </w:r>
      <w:r>
        <w:rPr>
          <w:rFonts w:ascii="Times New Roman;Times;Serif" w:hAnsi="Times New Roman;Times;Serif"/>
          <w:b w:val="false"/>
          <w:i/>
          <w:caps w:val="false"/>
          <w:smallCaps w:val="false"/>
          <w:sz w:val="20"/>
        </w:rPr>
        <w:t>lien caractérisé</w:t>
      </w:r>
      <w:r>
        <w:rPr>
          <w:rFonts w:ascii="Times New Roman;Times;Serif" w:hAnsi="Times New Roman;Times;Serif"/>
          <w:b w:val="false"/>
          <w:i w:val="false"/>
          <w:caps w:val="false"/>
          <w:smallCaps w:val="false"/>
          <w:sz w:val="20"/>
        </w:rPr>
        <w:t>) between the case and the New York Court and (F) such judgment does not contravene Luxembourg public policy (</w:t>
      </w:r>
      <w:r>
        <w:rPr>
          <w:rFonts w:ascii="Times New Roman;Times;Serif" w:hAnsi="Times New Roman;Times;Serif"/>
          <w:b w:val="false"/>
          <w:i/>
          <w:caps w:val="false"/>
          <w:smallCaps w:val="false"/>
          <w:sz w:val="20"/>
        </w:rPr>
        <w:t>ordre public</w:t>
      </w:r>
      <w:r>
        <w:rPr>
          <w:rFonts w:ascii="Times New Roman;Times;Serif" w:hAnsi="Times New Roman;Times;Serif"/>
          <w:b w:val="false"/>
          <w:i w:val="false"/>
          <w:caps w:val="false"/>
          <w:smallCaps w:val="false"/>
          <w:sz w:val="20"/>
        </w:rPr>
        <w:t>) and has not been obtained fraudulently.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(ss)</w:t>
        <w:tab/>
      </w:r>
      <w:r>
        <w:rPr>
          <w:rFonts w:ascii="Times New Roman;Times;Serif" w:hAnsi="Times New Roman;Times;Serif"/>
          <w:b/>
          <w:i/>
          <w:caps w:val="false"/>
          <w:smallCaps w:val="false"/>
          <w:sz w:val="20"/>
        </w:rPr>
        <w:t>Market Abuse.</w:t>
      </w:r>
      <w:r>
        <w:rPr>
          <w:rFonts w:ascii="Times New Roman;Times;Serif" w:hAnsi="Times New Roman;Times;Serif"/>
          <w:b w:val="false"/>
          <w:i w:val="false"/>
          <w:caps w:val="false"/>
          <w:smallCaps w:val="false"/>
          <w:sz w:val="20"/>
        </w:rPr>
        <w:t xml:space="preserve"> The sale or issuance of the Offered Shares will not violate the provisions of Regulation (EU) No 596/2014 of the European Parliament and of the Council of 16 April 2014 on market abuse, as amended.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(tt)</w:t>
        <w:tab/>
      </w:r>
      <w:r>
        <w:rPr>
          <w:rFonts w:ascii="Times New Roman;Times;Serif" w:hAnsi="Times New Roman;Times;Serif"/>
          <w:b/>
          <w:i/>
          <w:caps w:val="false"/>
          <w:smallCaps w:val="false"/>
          <w:sz w:val="20"/>
        </w:rPr>
        <w:t>Parties to Lock-Up Agreements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Company has furnished to the Underwriters a letter agreement in the form attached hereto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(the “</w:t>
      </w:r>
      <w:r>
        <w:rPr>
          <w:rFonts w:ascii="Times New Roman;Times;Serif" w:hAnsi="Times New Roman;Times;Serif"/>
          <w:b/>
          <w:i w:val="false"/>
          <w:caps w:val="false"/>
          <w:smallCaps w:val="false"/>
          <w:sz w:val="20"/>
        </w:rPr>
        <w:t>Lock-up Agreement</w:t>
      </w:r>
      <w:r>
        <w:rPr>
          <w:rFonts w:ascii="Times New Roman;Times;Serif" w:hAnsi="Times New Roman;Times;Serif"/>
          <w:b w:val="false"/>
          <w:i w:val="false"/>
          <w:caps w:val="false"/>
          <w:smallCaps w:val="false"/>
          <w:sz w:val="20"/>
        </w:rPr>
        <w:t xml:space="preserve">”) from each of the persons listed on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Such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lists under an appropriate caption the directors and officers and certain shareholders of the Company. If any additional persons shall become directors or officers of the Company prior to the end of the Company Lock-up Period (as defined below), the Company shall cause each such person, prior to or contemporaneously with their appointment or election as a director or officer of the Company, to execute and deliver to the Representatives a Lock-up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(uu)</w:t>
        <w:tab/>
      </w:r>
      <w:r>
        <w:rPr>
          <w:rFonts w:ascii="Times New Roman;Times;Serif" w:hAnsi="Times New Roman;Times;Serif"/>
          <w:b/>
          <w:i/>
          <w:caps w:val="false"/>
          <w:smallCaps w:val="false"/>
          <w:sz w:val="20"/>
        </w:rPr>
        <w:t>Forward-Looking Statements.</w:t>
      </w:r>
      <w:r>
        <w:rPr>
          <w:rFonts w:ascii="Times New Roman;Times;Serif" w:hAnsi="Times New Roman;Times;Serif"/>
          <w:b w:val="false"/>
          <w:i w:val="false"/>
          <w:caps w:val="false"/>
          <w:smallCaps w:val="false"/>
          <w:sz w:val="20"/>
        </w:rPr>
        <w:t xml:space="preserve"> Each financial or operational projection or other “forward-looking statement” (as defined by Section 27A of the Securities Act or Section 21E of the Exchange Act) contained in the Registration Statement, the Time of Sale Prospectus or the Prospectus (i) was so included by the Company in good faith and with reasonable basis after due consideration by the Company of the underlying assumptions, estimates and other applicable facts and circumstances and (ii) is accompanied by meaningful cautionary statements identifying those factors that could cause actual results to differ materially from those in such forward-looking statement. No such statement was made with the knowledge of an executive officer or director of the Company that it was false or misleading.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(vv)</w:t>
        <w:tab/>
      </w:r>
      <w:r>
        <w:rPr>
          <w:rFonts w:ascii="Times New Roman;Times;Serif" w:hAnsi="Times New Roman;Times;Serif"/>
          <w:b/>
          <w:i/>
          <w:caps w:val="false"/>
          <w:smallCaps w:val="false"/>
          <w:sz w:val="20"/>
        </w:rPr>
        <w:t>No Outstanding Loans or Other Extensions of Credit</w:t>
      </w:r>
      <w:r>
        <w:rPr>
          <w:rFonts w:ascii="Times New Roman;Times;Serif" w:hAnsi="Times New Roman;Times;Serif"/>
          <w:b w:val="false"/>
          <w:i w:val="false"/>
          <w:caps w:val="false"/>
          <w:smallCaps w:val="false"/>
          <w:sz w:val="20"/>
        </w:rPr>
        <w:t>. The Company does not have any outstanding extension of credit, in the form of a personal loan, to or for any director or executive officer (or equivalent thereof) of the Company except for such extensions of credit as are expressly permitted by Section 13(k) of the Exchange Act.</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(ww)</w:t>
      </w:r>
      <w:r>
        <w:rPr>
          <w:rFonts w:ascii="Times New Roman;Times;Serif" w:hAnsi="Times New Roman;Times;Serif"/>
          <w:b w:val="false"/>
          <w:i w:val="false"/>
          <w:caps w:val="false"/>
          <w:smallCaps w:val="false"/>
          <w:sz w:val="20"/>
        </w:rPr>
        <w:tab/>
      </w:r>
      <w:r>
        <w:rPr>
          <w:rFonts w:ascii="Times New Roman;Times;Serif" w:hAnsi="Times New Roman;Times;Serif"/>
          <w:b/>
          <w:i/>
          <w:caps w:val="false"/>
          <w:smallCaps w:val="false"/>
          <w:sz w:val="20"/>
        </w:rPr>
        <w:t>Communications.</w:t>
      </w:r>
      <w:r>
        <w:rPr>
          <w:rFonts w:ascii="Times New Roman;Times;Serif" w:hAnsi="Times New Roman;Times;Serif"/>
          <w:b w:val="false"/>
          <w:i w:val="false"/>
          <w:caps w:val="false"/>
          <w:smallCaps w:val="false"/>
          <w:sz w:val="20"/>
        </w:rPr>
        <w:t xml:space="preserve"> The Company (i) has not alone engaged in communications with potential investors in reliance on Section 5(d) of the Securities Act other than Permitted Section 5(d) Communications with the consent of the Representatives with entities that are reasonably believed to be QIBs or IAIs and (ii) has not authorized anyone other than the Representatives to engage in such communications; the Company reconfirms that the Representatives have been authorized to act on its behalf in undertaking Marketing Materials, Section 5(d) Oral Communications and Section 5(d) Written Communications; as of the Applicable Time, each Permitted Section 5(d) Communication, when considered together with the Time of Sale Prospectus, did not, as of the Applicable Time, include an untrue statement of a material fact or omit to state a material fact necessary in order to make the statements therein, in the light of the circumstances under which they were made, not misleading; and each Permitted Section 5(d) Communication, if any, does not, as of the date hereof, conflict with the information contained in the Registration Statement, the Preliminary Prospectus and the Prospectus.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(xx)</w:t>
        <w:tab/>
      </w:r>
      <w:r>
        <w:rPr>
          <w:rFonts w:ascii="Times New Roman;Times;Serif" w:hAnsi="Times New Roman;Times;Serif"/>
          <w:b/>
          <w:i/>
          <w:caps w:val="false"/>
          <w:smallCaps w:val="false"/>
          <w:sz w:val="20"/>
        </w:rPr>
        <w:t>No Contract Terminations.</w:t>
      </w:r>
      <w:r>
        <w:rPr>
          <w:rFonts w:ascii="Times New Roman;Times;Serif" w:hAnsi="Times New Roman;Times;Serif"/>
          <w:b w:val="false"/>
          <w:i w:val="false"/>
          <w:caps w:val="false"/>
          <w:smallCaps w:val="false"/>
          <w:sz w:val="20"/>
        </w:rPr>
        <w:t xml:space="preserve"> Neither the Company nor any of its subsidiaries has sent or received any communication regarding termination of, or intent not to renew, any of the contracts or agreements referred to or described in any preliminary prospectus, the Prospectus or any free writing prospectus, or referred to or described in, or filed as an exhibit to, the Registration Statement, or any document incorporated by reference therein, and no such termination or non-renewal has been threatened by the Company or any of its subsidiaries or, to the Company’s knowledge, any other party to any such contract or agreement, which threat of termination or non-renewal has not been rescinded as of the date hereof.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(yy)</w:t>
        <w:tab/>
        <w:t>Outbound Investment Security Program</w:t>
      </w:r>
      <w:r>
        <w:rPr>
          <w:rFonts w:ascii="Times New Roman;Times;Serif" w:hAnsi="Times New Roman;Times;Serif"/>
          <w:b w:val="false"/>
          <w:i w:val="false"/>
          <w:caps w:val="false"/>
          <w:smallCaps w:val="false"/>
          <w:sz w:val="20"/>
        </w:rPr>
        <w:t>. Neither the Company nor any of its subsidiaries is a “covered foreign person”, as that term is defined in 31 C.F.R. § 850.209. Neither the Company nor any of its subsidiaries currently engages, or has plans to engage, directly or indirectly, in a “covered activity”, as that term is defined in in 31 C.F.R. § 850.208 (“</w:t>
      </w:r>
      <w:r>
        <w:rPr>
          <w:rFonts w:ascii="Times New Roman;Times;Serif" w:hAnsi="Times New Roman;Times;Serif"/>
          <w:b/>
          <w:i w:val="false"/>
          <w:caps w:val="false"/>
          <w:smallCaps w:val="false"/>
          <w:sz w:val="20"/>
        </w:rPr>
        <w:t>Covered Activity</w:t>
      </w:r>
      <w:r>
        <w:rPr>
          <w:rFonts w:ascii="Times New Roman;Times;Serif" w:hAnsi="Times New Roman;Times;Serif"/>
          <w:b w:val="false"/>
          <w:i w:val="false"/>
          <w:caps w:val="false"/>
          <w:smallCaps w:val="false"/>
          <w:sz w:val="20"/>
        </w:rPr>
        <w:t>”). The Company does not have any joint ventures that engage in or plan to engage in any Covered Activity. The Company also does not, directly or indirectly, hold a board seat on, have a voting or equity interest in, or have any contractual power to direct or cause the direction of the management or policies of any person or persons that engages or, to the best of the Company’s knowledge, plans to engage in any Covered Activity.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certificate signed by any officer or representative of the Company or any of its subsidiaries and delivered to any Underwriter or to counsel for the Underwriters in connection with the offering, or the purchase and sale, of the Offered Shares shall be deemed a representation and warranty by the Company to each Underwriter as to the matters covered thereby on the date of such certificate.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 reasonable basis for making each of the representations set forth in this Section 1. The Company acknowledges that the Underwriters and, for purposes of the opinions to be delivered pursuant to ‎Section 6 hereof, counsel to the Company and counsel to the Underwriters, will rely upon the accuracy and truthfulness of the foregoing representations and hereby consents to such reliance.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w:t>
        <w:tab/>
        <w:t>Purchase, Sale and Delivery of the Offered Shares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w:t>
        <w:tab/>
      </w:r>
      <w:r>
        <w:rPr>
          <w:rFonts w:ascii="Times New Roman;Times;Serif" w:hAnsi="Times New Roman;Times;Serif"/>
          <w:b/>
          <w:i/>
          <w:caps w:val="false"/>
          <w:smallCaps w:val="false"/>
          <w:sz w:val="20"/>
        </w:rPr>
        <w:t>The Firm Shares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Upon the terms herein set forth, the Company agrees to issue to the several Underwriters an aggregate of 22,666,667 Firm Shares. On the basis of the representations, warranties and agreements herein contained, and upon the terms but subject to the conditions herein set forth, the Underwriters agree, severally and not jointly, to subscribe the respective number of Firm Shares set forth opposite their names on </w:t>
      </w:r>
      <w:r>
        <w:rPr>
          <w:rFonts w:ascii="Times New Roman;Times;Serif" w:hAnsi="Times New Roman;Times;Serif"/>
          <w:b w:val="false"/>
          <w:i w:val="false"/>
          <w:caps w:val="false"/>
          <w:smallCaps w:val="false"/>
          <w:sz w:val="20"/>
          <w:u w:val="single"/>
        </w:rPr>
        <w:t>Schedule A</w:t>
      </w:r>
      <w:r>
        <w:rPr>
          <w:rFonts w:ascii="Times New Roman;Times;Serif" w:hAnsi="Times New Roman;Times;Serif"/>
          <w:b w:val="false"/>
          <w:i w:val="false"/>
          <w:caps w:val="false"/>
          <w:smallCaps w:val="false"/>
          <w:sz w:val="20"/>
        </w:rPr>
        <w:t>. The subscription price per Firm Share to be paid by the several Underwriters to the Company shall be $3.525 per share (the “</w:t>
      </w:r>
      <w:r>
        <w:rPr>
          <w:rFonts w:ascii="Times New Roman;Times;Serif" w:hAnsi="Times New Roman;Times;Serif"/>
          <w:b/>
          <w:i w:val="false"/>
          <w:caps w:val="false"/>
          <w:smallCaps w:val="false"/>
          <w:sz w:val="20"/>
        </w:rPr>
        <w:t>Purchase Price</w:t>
      </w:r>
      <w:r>
        <w:rPr>
          <w:rFonts w:ascii="Times New Roman;Times;Serif" w:hAnsi="Times New Roman;Times;Serif"/>
          <w:b w:val="false"/>
          <w:i w:val="false"/>
          <w:caps w:val="false"/>
          <w:smallCaps w:val="false"/>
          <w:sz w:val="20"/>
        </w:rPr>
        <w:t>”).</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w:t>
        <w:tab/>
      </w:r>
      <w:r>
        <w:rPr>
          <w:rFonts w:ascii="Times New Roman;Times;Serif" w:hAnsi="Times New Roman;Times;Serif"/>
          <w:b/>
          <w:i/>
          <w:caps w:val="false"/>
          <w:smallCaps w:val="false"/>
          <w:sz w:val="20"/>
        </w:rPr>
        <w:t>The First Closing Date</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Delivery of the Firm Shares to be subscribed by the Underwriters and payment therefor (save for the Nominal Price, as defined below) shall be made at the offices of Paul Hastings LLP (or such other place as may be agreed to by the Company and the Representatives) at 9:00 a.m. New York City time, on June 17, 2026, or such other time and date not later than 1:30 p.m. New York City time, on June 24, 2026 as the Representatives shall designate by notice to the Company (the time and date of such closing are called the “</w:t>
      </w:r>
      <w:r>
        <w:rPr>
          <w:rFonts w:ascii="Times New Roman;Times;Serif" w:hAnsi="Times New Roman;Times;Serif"/>
          <w:b/>
          <w:i w:val="false"/>
          <w:caps w:val="false"/>
          <w:smallCaps w:val="false"/>
          <w:sz w:val="20"/>
        </w:rPr>
        <w:t>First Closing Date</w:t>
      </w:r>
      <w:r>
        <w:rPr>
          <w:rFonts w:ascii="Times New Roman;Times;Serif" w:hAnsi="Times New Roman;Times;Serif"/>
          <w:b w:val="false"/>
          <w:i w:val="false"/>
          <w:caps w:val="false"/>
          <w:smallCaps w:val="false"/>
          <w:sz w:val="20"/>
        </w:rPr>
        <w:t>”). The Company hereby acknowledges that circumstances under which the Representatives may provide notice to postpone the First Closing Date as originally scheduled include, but are not limited to, any determination by the Company or the Representatives to recirculate to the public copies of an amended or supplemented Prospectus or a delay as contemplated by the provisions of Section 11.</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w:t>
        <w:tab/>
      </w:r>
      <w:r>
        <w:rPr>
          <w:rFonts w:ascii="Times New Roman;Times;Serif" w:hAnsi="Times New Roman;Times;Serif"/>
          <w:b/>
          <w:i/>
          <w:caps w:val="false"/>
          <w:smallCaps w:val="false"/>
          <w:sz w:val="20"/>
        </w:rPr>
        <w:t>The Optional Shares; Option Closing Date</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In addition, on the basis of the representations, warranties and agreements herein contained, and upon the terms but subject to the conditions herein set forth, the Company hereby grants an option to the several Underwriters to subscribe, severally and not jointly, up to an aggregate of 3,400,000 Optional Shares from the Company at the subscription price per share to be paid by the Underwriters for the Firm Shares, less an amount per share equal to any dividend or distribution declared by the Company and payable on the Firm Shares but not payable on Optional Shares. The option granted hereunder may be exercised at any time and from time to time in whole or in part upon notice by the Representatives to the Company, which notice may be given at any time within 30 days from the date of this Agreement. Such notice shall set forth (i) the aggregate number of Optional Shares as to which the Underwriters are exercising the option and (ii) the time, date and place at which the Optional Shares will be issued (which time and date may be simultaneous with, but not earlier than, the First Closing Date; and in the event that such time and date are simultaneous with the First Closing Date, the term “</w:t>
      </w:r>
      <w:r>
        <w:rPr>
          <w:rFonts w:ascii="Times New Roman;Times;Serif" w:hAnsi="Times New Roman;Times;Serif"/>
          <w:b/>
          <w:i w:val="false"/>
          <w:caps w:val="false"/>
          <w:smallCaps w:val="false"/>
          <w:sz w:val="20"/>
        </w:rPr>
        <w:t>First Closing Date</w:t>
      </w:r>
      <w:r>
        <w:rPr>
          <w:rFonts w:ascii="Times New Roman;Times;Serif" w:hAnsi="Times New Roman;Times;Serif"/>
          <w:b w:val="false"/>
          <w:i w:val="false"/>
          <w:caps w:val="false"/>
          <w:smallCaps w:val="false"/>
          <w:sz w:val="20"/>
        </w:rPr>
        <w:t>” shall refer to the time and date of issuance of the Firm Shares and such Optional Shares). Any such time and date of issuance, if subsequent to the First Closing Date, is called an “</w:t>
      </w:r>
      <w:r>
        <w:rPr>
          <w:rFonts w:ascii="Times New Roman;Times;Serif" w:hAnsi="Times New Roman;Times;Serif"/>
          <w:b/>
          <w:i w:val="false"/>
          <w:caps w:val="false"/>
          <w:smallCaps w:val="false"/>
          <w:sz w:val="20"/>
        </w:rPr>
        <w:t>Option Closing Date</w:t>
      </w:r>
      <w:r>
        <w:rPr>
          <w:rFonts w:ascii="Times New Roman;Times;Serif" w:hAnsi="Times New Roman;Times;Serif"/>
          <w:b w:val="false"/>
          <w:i w:val="false"/>
          <w:caps w:val="false"/>
          <w:smallCaps w:val="false"/>
          <w:sz w:val="20"/>
        </w:rPr>
        <w:t xml:space="preserve">,” and shall be determined by the Representatives and shall not be earlier than two full business days after delivery of such notice of exercise. If any Optional Shares are to be subscribed, each Underwriter agrees, severally and not jointly, to subscribe the number of Optional Shares (subject to such adjustments to eliminate fractional shares as the Representatives may determine) that bears the same proportion to the total number of Optional Shares to be subscribed as the number of Firm Shares set forth on </w:t>
      </w:r>
      <w:r>
        <w:rPr>
          <w:rFonts w:ascii="Times New Roman;Times;Serif" w:hAnsi="Times New Roman;Times;Serif"/>
          <w:b w:val="false"/>
          <w:i w:val="false"/>
          <w:caps w:val="false"/>
          <w:smallCaps w:val="false"/>
          <w:sz w:val="20"/>
          <w:u w:val="single"/>
        </w:rPr>
        <w:t>Schedule A</w:t>
      </w:r>
      <w:r>
        <w:rPr>
          <w:rFonts w:ascii="Times New Roman;Times;Serif" w:hAnsi="Times New Roman;Times;Serif"/>
          <w:b w:val="false"/>
          <w:i w:val="false"/>
          <w:caps w:val="false"/>
          <w:smallCaps w:val="false"/>
          <w:sz w:val="20"/>
        </w:rPr>
        <w:t xml:space="preserve"> opposite the name of such Underwriter bears to the total number of Firm Shares. The Representatives may cancel the option at any time prior to its expiration by giving written notice of such cancellation to the Company.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w:t>
        <w:tab/>
      </w:r>
      <w:r>
        <w:rPr>
          <w:rFonts w:ascii="Times New Roman;Times;Serif" w:hAnsi="Times New Roman;Times;Serif"/>
          <w:b/>
          <w:i/>
          <w:caps w:val="false"/>
          <w:smallCaps w:val="false"/>
          <w:sz w:val="20"/>
        </w:rPr>
        <w:t>Public Offering of the Offered Shares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Representatives hereby advise the Company that the Underwriters intend to offer for sale to the public, initially on the terms set forth in the Registration Statement, the Time of Sale Prospectus and the Prospectus, their respective portions of the Offered Shares as soon after this Agreement has been executed as the Representatives, in their sole judgment, have determined is advisable and practicable.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w:t>
        <w:tab/>
      </w:r>
      <w:r>
        <w:rPr>
          <w:rFonts w:ascii="Times New Roman;Times;Serif" w:hAnsi="Times New Roman;Times;Serif"/>
          <w:b/>
          <w:i/>
          <w:caps w:val="false"/>
          <w:smallCaps w:val="false"/>
          <w:sz w:val="20"/>
        </w:rPr>
        <w:t>Payment for the Offered Shares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(i) Payment for the Offered Shares (save for the Nominal Price) shall be made at the First Closing Date (and, if applicable, at each applicable Option Closing Date) by wire transfer of immediately available funds to the order of the Company, and BofA will deliver, by wire transfer of immediately available funds, the Settlement Price (as defined below) in the case of New Shares (as defined below).</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tab/>
        <w:t>It is understood that the Representatives have been authorized, for their own account and the accounts of the several Underwriters, to accept delivery of and receipt for, and make payment of the subscription price for, the Firm Shares and any Optional Shares the Underwriters have agreed to subscribe. BofA, individually and not as a Representative of the Underwriters, may (but shall not be obligated to) make payment for any Offered Shares to be subscribed by any Underwriter whose</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funds shall not have been received by BofA by the First Closing Date or the applicable Option Closing Date, as the case may be, for the account of such Underwriter, but any such payment shall not relieve such Underwriter from any of its obligations under this Agreement.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tab/>
        <w:t>The Offered Shares shall be newly issued Shares (“</w:t>
      </w:r>
      <w:r>
        <w:rPr>
          <w:rFonts w:ascii="Times New Roman;Times;Serif" w:hAnsi="Times New Roman;Times;Serif"/>
          <w:b/>
          <w:i w:val="false"/>
          <w:caps w:val="false"/>
          <w:smallCaps w:val="false"/>
          <w:sz w:val="20"/>
        </w:rPr>
        <w:t>New Shares</w:t>
      </w:r>
      <w:r>
        <w:rPr>
          <w:rFonts w:ascii="Times New Roman;Times;Serif" w:hAnsi="Times New Roman;Times;Serif"/>
          <w:b w:val="false"/>
          <w:i w:val="false"/>
          <w:caps w:val="false"/>
          <w:smallCaps w:val="false"/>
          <w:sz w:val="20"/>
        </w:rPr>
        <w:t>”); and, as such, BofA will ensure that (A) the aggregate nominal value of the Offered Shares to be issued (the “</w:t>
      </w:r>
      <w:r>
        <w:rPr>
          <w:rFonts w:ascii="Times New Roman;Times;Serif" w:hAnsi="Times New Roman;Times;Serif"/>
          <w:b/>
          <w:i w:val="false"/>
          <w:caps w:val="false"/>
          <w:smallCaps w:val="false"/>
          <w:sz w:val="20"/>
        </w:rPr>
        <w:t>Nominal Price</w:t>
      </w:r>
      <w:r>
        <w:rPr>
          <w:rFonts w:ascii="Times New Roman;Times;Serif" w:hAnsi="Times New Roman;Times;Serif"/>
          <w:b w:val="false"/>
          <w:i w:val="false"/>
          <w:caps w:val="false"/>
          <w:smallCaps w:val="false"/>
          <w:sz w:val="20"/>
        </w:rPr>
        <w:t>”) is wired to the bank account of the Company to which the Purchase Price is payable (the “</w:t>
      </w:r>
      <w:r>
        <w:rPr>
          <w:rFonts w:ascii="Times New Roman;Times;Serif" w:hAnsi="Times New Roman;Times;Serif"/>
          <w:b/>
          <w:i w:val="false"/>
          <w:caps w:val="false"/>
          <w:smallCaps w:val="false"/>
          <w:sz w:val="20"/>
        </w:rPr>
        <w:t>Bank Account</w:t>
      </w:r>
      <w:r>
        <w:rPr>
          <w:rFonts w:ascii="Times New Roman;Times;Serif" w:hAnsi="Times New Roman;Times;Serif"/>
          <w:b w:val="false"/>
          <w:i w:val="false"/>
          <w:caps w:val="false"/>
          <w:smallCaps w:val="false"/>
          <w:sz w:val="20"/>
        </w:rPr>
        <w:t xml:space="preserve">”) prior to issuance of the Offered Shares, and in no event later than 10:00 a.m. ET on June 17, 2026 (with respect to the First Closing Date) or by 10:00 a.m. ET on the business day prior to the applicable Option Closing Date, as the case may be, and received prior to the issuance of the New Shares by the Company on the First Closing Date or the applicable Option Closing Date, as the case may be, and (B) a written subscription form is delivered to the Company by BofA in accordance with this Agreement in the form attached hereto as </w:t>
      </w:r>
      <w:r>
        <w:rPr>
          <w:rFonts w:ascii="Times New Roman;Times;Serif" w:hAnsi="Times New Roman;Times;Serif"/>
          <w:b w:val="false"/>
          <w:i w:val="false"/>
          <w:caps w:val="false"/>
          <w:smallCaps w:val="false"/>
          <w:sz w:val="20"/>
          <w:u w:val="single"/>
        </w:rPr>
        <w:t>Exhibit C</w:t>
      </w:r>
      <w:r>
        <w:rPr>
          <w:rFonts w:ascii="Times New Roman;Times;Serif" w:hAnsi="Times New Roman;Times;Serif"/>
          <w:b w:val="false"/>
          <w:i w:val="false"/>
          <w:caps w:val="false"/>
          <w:smallCaps w:val="false"/>
          <w:sz w:val="20"/>
        </w:rPr>
        <w:t xml:space="preserve"> on the First Closing Date or the applicable Option Closing Date, as the case may be, and received prior to the issuance of the New Shares by the Company on the First Closing Date or the applicable Option Closing Date, as the case may be. The Underwriters further irrevocably undertake to contribute the amount equal to the Purchase Price less the Nominal Price (the “</w:t>
      </w:r>
      <w:r>
        <w:rPr>
          <w:rFonts w:ascii="Times New Roman;Times;Serif" w:hAnsi="Times New Roman;Times;Serif"/>
          <w:b/>
          <w:i w:val="false"/>
          <w:caps w:val="false"/>
          <w:smallCaps w:val="false"/>
          <w:sz w:val="20"/>
        </w:rPr>
        <w:t>Settlement Price</w:t>
      </w:r>
      <w:r>
        <w:rPr>
          <w:rFonts w:ascii="Times New Roman;Times;Serif" w:hAnsi="Times New Roman;Times;Serif"/>
          <w:b w:val="false"/>
          <w:i w:val="false"/>
          <w:caps w:val="false"/>
          <w:smallCaps w:val="false"/>
          <w:sz w:val="20"/>
        </w:rPr>
        <w:t>”) to the equity of the Company without issuing new shares (account 115 of the standard chart of accounts “</w:t>
      </w:r>
      <w:r>
        <w:rPr>
          <w:rFonts w:ascii="Times New Roman;Times;Serif" w:hAnsi="Times New Roman;Times;Serif"/>
          <w:b w:val="false"/>
          <w:i/>
          <w:caps w:val="false"/>
          <w:smallCaps w:val="false"/>
          <w:sz w:val="20"/>
        </w:rPr>
        <w:t>apport en capitaux propres non rémunérés par des titres</w:t>
      </w:r>
      <w:r>
        <w:rPr>
          <w:rFonts w:ascii="Times New Roman;Times;Serif" w:hAnsi="Times New Roman;Times;Serif"/>
          <w:b w:val="false"/>
          <w:i w:val="false"/>
          <w:caps w:val="false"/>
          <w:smallCaps w:val="false"/>
          <w:sz w:val="20"/>
        </w:rPr>
        <w:t>”) and ensure that the Settlement Price is received in the Bank Account on the First Closing Date or the applicable Option Closing Date, as the case may be, following the issuance of the New Shares by the Company and prior to the delivery by BofA of the New Shares to any third party. BofA acknowledges and agrees that the Company will not be in a position to deliver New Shares in case of delay of payment of the Nominal Price or failure to deliver the subscription form. BofA and the Company acknowledge that the contribution of the Settlement Price is a separate payment which does not form part of the subscription price of the New Shares.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w:t>
        <w:tab/>
        <w:t>If this Agreement is terminated pursuant to Section 12 prior to the First Closing Date and prior to the New Shares being issued, (a) the Company undertakes not to proceed with the issuance of New Shares, and (b) the Company shall immediately remit from the Bank Account the Nominal Price in full to BofA, acting for the accounts of the several Underwriters, as soon as practicable. If this Agreement is terminated pursuant to Section 12 prior to the First Closing Date and after the New Shares have been issued (but prior to delivery at the First Closing Date), (a) the Company shall immediately remit from the Bank Account the Nominal Price in full to BofA, acting for the accounts of the several Underwriters, as soon as practicable and (b) BofA shall take such actions as may be necessary to cause such New Shares to be transferred as designated by the Company, pursuant to the Company’s instructions, as soon as practicable.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w:t>
        <w:tab/>
      </w:r>
      <w:r>
        <w:rPr>
          <w:rFonts w:ascii="Times New Roman;Times;Serif" w:hAnsi="Times New Roman;Times;Serif"/>
          <w:b/>
          <w:i/>
          <w:caps w:val="false"/>
          <w:smallCaps w:val="false"/>
          <w:sz w:val="20"/>
        </w:rPr>
        <w:t>Delivery of the Offered Shares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Company shall deliver, or cause to be delivered to the Representatives for the accounts of the several Underwriters, the Firm Shares at the First Closing Date, against release of a wire transfer of immediately available funds for the amount of the subscription price therefor. The Company shall also deliver, or cause to be delivered to the Representatives for the accounts of the several Underwriters, the Optional Shares the Underwriters have agreed to subscribe at the First Closing Date or the applicable Option Closing Date, as the case may be, against the release of a wire transfer of immediately available funds for the amount of the subscription price therefor. Each issuance of Offered Shares will be settled subject to the action referred to under Section 3(e)(iii) above having been taken in due time, subject to the provisions of Section 6 and, in the case of New Shares, subject to the Nominal Price having been received in the Bank Account. If BofA so elects, delivery of the Offered Shares may be made by credit to the accounts designated by BofA through The Depository Trust Company’s full fast transfer or DWAC programs. Time shall be of the essence, and delivery at the time and place specified in this Agreement is a further condition to the obligations of the Underwriters.</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w:t>
        <w:tab/>
      </w:r>
      <w:r>
        <w:rPr>
          <w:rFonts w:ascii="Times New Roman;Times;Serif" w:hAnsi="Times New Roman;Times;Serif"/>
          <w:b/>
          <w:i/>
          <w:caps w:val="false"/>
          <w:smallCaps w:val="false"/>
          <w:sz w:val="20"/>
        </w:rPr>
        <w:t>Selling Restrictions.</w:t>
      </w:r>
      <w:r>
        <w:rPr>
          <w:rFonts w:ascii="Times New Roman;Times;Serif" w:hAnsi="Times New Roman;Times;Serif"/>
          <w:b w:val="false"/>
          <w:i w:val="false"/>
          <w:caps w:val="false"/>
          <w:smallCaps w:val="false"/>
          <w:sz w:val="20"/>
        </w:rPr>
        <w:t xml:space="preserve"> The Offered Shares described in this Agreement are not intended to be offered, sold, distributed or otherwise made available to and should not be offered, sold, distributed or otherwise made available to any retail investor in the European Economic Area (“</w:t>
      </w:r>
      <w:r>
        <w:rPr>
          <w:rFonts w:ascii="Times New Roman;Times;Serif" w:hAnsi="Times New Roman;Times;Serif"/>
          <w:b/>
          <w:i w:val="false"/>
          <w:caps w:val="false"/>
          <w:smallCaps w:val="false"/>
          <w:sz w:val="20"/>
        </w:rPr>
        <w:t>EEA</w:t>
      </w:r>
      <w:r>
        <w:rPr>
          <w:rFonts w:ascii="Times New Roman;Times;Serif" w:hAnsi="Times New Roman;Times;Serif"/>
          <w:b w:val="false"/>
          <w:i w:val="false"/>
          <w:caps w:val="false"/>
          <w:smallCaps w:val="false"/>
          <w:sz w:val="20"/>
        </w:rPr>
        <w:t>”). For these purposes, a retail investor means a person who is one (or more) of: (i) a retail client as defined in point (11) of Article 4(1) of Directive 2014/65/EU (“</w:t>
      </w:r>
      <w:r>
        <w:rPr>
          <w:rFonts w:ascii="Times New Roman;Times;Serif" w:hAnsi="Times New Roman;Times;Serif"/>
          <w:b/>
          <w:i w:val="false"/>
          <w:caps w:val="false"/>
          <w:smallCaps w:val="false"/>
          <w:sz w:val="20"/>
        </w:rPr>
        <w:t>MiFID II</w:t>
      </w:r>
      <w:r>
        <w:rPr>
          <w:rFonts w:ascii="Times New Roman;Times;Serif" w:hAnsi="Times New Roman;Times;Serif"/>
          <w:b w:val="false"/>
          <w:i w:val="false"/>
          <w:caps w:val="false"/>
          <w:smallCaps w:val="false"/>
          <w:sz w:val="20"/>
        </w:rPr>
        <w:t>”); or (ii) a customer within the meaning of Directive (EU) 2016/97, where that customer would not qualify as a professional client as defined in point (10) of Article 4(1) of MiFID II; or (iii) not a qualified investor as defined in the Regulation (EU) 2017/1129 of the European Parliament and of the Council of 14 June 2017 on the prospectus to be published when securities are offered to the public or admitted to trading on a regulated market, as amended (the “</w:t>
      </w:r>
      <w:r>
        <w:rPr>
          <w:rFonts w:ascii="Times New Roman;Times;Serif" w:hAnsi="Times New Roman;Times;Serif"/>
          <w:b/>
          <w:i w:val="false"/>
          <w:caps w:val="false"/>
          <w:smallCaps w:val="false"/>
          <w:sz w:val="20"/>
        </w:rPr>
        <w:t>EU Prospectus Regulation</w:t>
      </w:r>
      <w:r>
        <w:rPr>
          <w:rFonts w:ascii="Times New Roman;Times;Serif" w:hAnsi="Times New Roman;Times;Serif"/>
          <w:b w:val="false"/>
          <w:i w:val="false"/>
          <w:caps w:val="false"/>
          <w:smallCaps w:val="false"/>
          <w:sz w:val="20"/>
        </w:rPr>
        <w:t>”). Consequently, no key information document required by Regulation (EU) No 1286/2014 (as amended, the “</w:t>
      </w:r>
      <w:r>
        <w:rPr>
          <w:rFonts w:ascii="Times New Roman;Times;Serif" w:hAnsi="Times New Roman;Times;Serif"/>
          <w:b/>
          <w:i w:val="false"/>
          <w:caps w:val="false"/>
          <w:smallCaps w:val="false"/>
          <w:sz w:val="20"/>
        </w:rPr>
        <w:t>PRIIPs Regulation</w:t>
      </w:r>
      <w:r>
        <w:rPr>
          <w:rFonts w:ascii="Times New Roman;Times;Serif" w:hAnsi="Times New Roman;Times;Serif"/>
          <w:b w:val="false"/>
          <w:i w:val="false"/>
          <w:caps w:val="false"/>
          <w:smallCaps w:val="false"/>
          <w:sz w:val="20"/>
        </w:rPr>
        <w:t>”) for offering, selling or distributing the Offered Shares described in this Agreement or otherwise making them available to retail investors in the EEA has been prepared and therefore offering, selling or distributing such Offered Shares or otherwise making them available to any retail investor in the EEA may be unlawful under the PRIIPs Regulation. Any offer of such Offered Shares in any member state of the EEA will be made pursuant to an exemption under the EU Prospectus Regulation from the requirement to publish a prospectus for offers of such Offered Shares.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3.</w:t>
        <w:tab/>
        <w:t>Additional Covenants of the Company.</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further covenants and agrees with each Underwriter as follows: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w:t>
        <w:tab/>
      </w:r>
      <w:r>
        <w:rPr>
          <w:rFonts w:ascii="Times New Roman;Times;Serif" w:hAnsi="Times New Roman;Times;Serif"/>
          <w:b/>
          <w:i/>
          <w:caps w:val="false"/>
          <w:smallCaps w:val="false"/>
          <w:sz w:val="20"/>
        </w:rPr>
        <w:t>Delivery of Registration Statement, Time of Sale Prospectus and Prospectus.</w:t>
      </w:r>
      <w:r>
        <w:rPr>
          <w:rFonts w:ascii="Times New Roman;Times;Serif" w:hAnsi="Times New Roman;Times;Serif"/>
          <w:b w:val="false"/>
          <w:i w:val="false"/>
          <w:caps w:val="false"/>
          <w:smallCaps w:val="false"/>
          <w:sz w:val="20"/>
        </w:rPr>
        <w:t xml:space="preserve"> The Company shall furnish to you in New York City, without charge, prior to 6:00 p.m. New York City time on the business day next succeeding the date of this Agreement and during the period when a prospectus relating to the Offered Shares is required by the Securities Act to be delivered (whether physically or through compliance with Rule 172 under the Securities Act or any similar rule) in connection with sales of the Offered Shares, as many copies of the Time of Sale Prospectus, the Prospectus and any supplements and amendments thereto or to the Registration Statement as you may reasonably request.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w:t>
        <w:tab/>
      </w:r>
      <w:r>
        <w:rPr>
          <w:rFonts w:ascii="Times New Roman;Times;Serif" w:hAnsi="Times New Roman;Times;Serif"/>
          <w:b/>
          <w:i/>
          <w:caps w:val="false"/>
          <w:smallCaps w:val="false"/>
          <w:sz w:val="20"/>
        </w:rPr>
        <w:t>Representatives’ Review of Proposed Amendments and Supplements.</w:t>
      </w:r>
      <w:r>
        <w:rPr>
          <w:rFonts w:ascii="Times New Roman;Times;Serif" w:hAnsi="Times New Roman;Times;Serif"/>
          <w:b w:val="false"/>
          <w:i w:val="false"/>
          <w:caps w:val="false"/>
          <w:smallCaps w:val="false"/>
          <w:sz w:val="20"/>
        </w:rPr>
        <w:t xml:space="preserve"> During the period when a prospectus relating to the Offered Shares is required by the Securities Act to be delivered (whether physically or through compliance with Rule 172 under the Securities Act or any similar rule), the Company (i) will furnish to the Representatives for review, a reasonable period of time prior to the proposed time of filing of any proposed amendment or supplement to the Registration Statement, a copy of each such amendment or supplement and (ii) will not amend or supplement the Registration Statement (including any amendment or supplement through incorporation of any report filed under the Exchange Act) without the Representatives’ prior written consent, which consent shall not be unreasonably withheld, conditioned or delayed. Prior to amending or supplementing any preliminary prospectus, the Time of Sale Prospectus or the Prospectus (including any amendment or supplement through incorporation of any report filed under the Exchange Act), the Company shall furnish to the Representatives for review, a reasonable amount of time prior to the time of filing or use of the proposed amendment or supplement, a copy of each such proposed amendment or supplement. The Company shall not file or use any such proposed amendment or supplement without the Representatives’ prior written consent, which consent shall not be unreasonably withheld, conditioned or delayed. The Company shall file with the Commission within the applicable period specified in Rule 424(b) under the Securities Act any prospectus required to be filed pursuant to such Rule.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w:t>
        <w:tab/>
      </w:r>
      <w:r>
        <w:rPr>
          <w:rFonts w:ascii="Times New Roman;Times;Serif" w:hAnsi="Times New Roman;Times;Serif"/>
          <w:b/>
          <w:i/>
          <w:caps w:val="false"/>
          <w:smallCaps w:val="false"/>
          <w:sz w:val="20"/>
        </w:rPr>
        <w:t>Filing of Underwriter Free Writing Prospectuses.</w:t>
      </w:r>
      <w:r>
        <w:rPr>
          <w:rFonts w:ascii="Times New Roman;Times;Serif" w:hAnsi="Times New Roman;Times;Serif"/>
          <w:b w:val="false"/>
          <w:i w:val="false"/>
          <w:caps w:val="false"/>
          <w:smallCaps w:val="false"/>
          <w:sz w:val="20"/>
        </w:rPr>
        <w:t xml:space="preserve"> The Company shall furnish to the Representatives for review, a reasonable amount of time prior to the proposed time of filing or use thereof, a copy of each proposed free writing prospectus or any amendment or supplement thereto prepared by or on behalf of, used by, or referred to by the Company, and the Company shall not file, use or refer to any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proposed free writing prospectus or any amendment or supplement thereto without the Representatives’ prior written consent. The Company shall furnish to each Underwriter, without charge, as many copies of any free writing prospectus prepared by or on behalf of, used by or referred to by the Company as such Underwriter may reasonably request. If at any time when a prospectus is required by the Securities Act to be delivered (whether physically or through compliance with Rule 172 under the Securities Act or any similar rule) in connection with sales of the Offered Shares (but in any event if at any time through and including the First Closing Date) there occurred or occurs an event or development as a result of which any free writing prospectus prepared by or on behalf of, used by, or referred to by the Company conflicted or would conflict with the information contained in the Registration Statement or included or would include an untrue statement of a material fact or omitted or would omit to state a material fact necessary in order to make the statements therein, in the light of the circumstances prevailing at such time, not misleading, the Company shall promptly amend or supplement such free writing prospectus to eliminate or correct such conflict or so that the statements in such free writing prospectus as so amended or supplemented will not include an untrue statement of a material fact or omit to state a material fact necessary in order to make the statements therein, in the light of the circumstances prevailing at such time, not misleading, as the case may be;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prior to amending or supplementing any such free writing prospectus, the Company shall furnish to the Representatives for review, a reasonable amount of time prior to the proposed time of filing or use thereof, a copy of such proposed amended or supplemented free writing prospectus, and the Company shall not file, use or refer to any such amended or supplemented free writing prospectus without the Representatives’ prior written consent.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w:t>
        <w:tab/>
      </w:r>
      <w:r>
        <w:rPr>
          <w:rFonts w:ascii="Times New Roman;Times;Serif" w:hAnsi="Times New Roman;Times;Serif"/>
          <w:b/>
          <w:i/>
          <w:caps w:val="false"/>
          <w:smallCaps w:val="false"/>
          <w:sz w:val="20"/>
        </w:rPr>
        <w:t>Filing of Underwriter Free Writing Prospectuses.</w:t>
      </w:r>
      <w:r>
        <w:rPr>
          <w:rFonts w:ascii="Times New Roman;Times;Serif" w:hAnsi="Times New Roman;Times;Serif"/>
          <w:b w:val="false"/>
          <w:i w:val="false"/>
          <w:caps w:val="false"/>
          <w:smallCaps w:val="false"/>
          <w:sz w:val="20"/>
        </w:rPr>
        <w:t xml:space="preserve"> The Company shall not take any action that would result in an Underwriter or the Company being required to file with the Commission pursuant to Rule 433(d) under the Securities Act a free writing prospectus prepared by or on behalf of such Underwriter that such Underwriter otherwise would not have been required to file thereunder.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w:t>
        <w:tab/>
      </w:r>
      <w:r>
        <w:rPr>
          <w:rFonts w:ascii="Times New Roman;Times;Serif" w:hAnsi="Times New Roman;Times;Serif"/>
          <w:b/>
          <w:i/>
          <w:caps w:val="false"/>
          <w:smallCaps w:val="false"/>
          <w:sz w:val="20"/>
        </w:rPr>
        <w:t>Amendments and Supplements to Time of Sale Prospectus.</w:t>
      </w:r>
      <w:r>
        <w:rPr>
          <w:rFonts w:ascii="Times New Roman;Times;Serif" w:hAnsi="Times New Roman;Times;Serif"/>
          <w:b w:val="false"/>
          <w:i w:val="false"/>
          <w:caps w:val="false"/>
          <w:smallCaps w:val="false"/>
          <w:sz w:val="20"/>
        </w:rPr>
        <w:t xml:space="preserve"> If the Time of Sale Prospectus is being used to solicit offers to buy the Offered Shares at a time when the Prospectus is not yet available to prospective purchasers, and any event shall occur or condition exist as a result of which it is necessary to amend or supplement the Time of Sale Prospectus so that the Time of Sale Prospectus does not include an untrue statement of a material fact or omit to state a material fact necessary in order to make the statements therein, in the light of the circumstances when delivered to a prospective purchaser, not misleading, or if any event shall occur or condition exist as a result of which the Time of Sale Prospectus conflicts with the information contained in the Registration Statement, or if, in the opinion of counsel for the Underwriters, it is necessary to amend or supplement the Time of Sale Prospectus to comply with applicable law, the Company shall (subject to Section 3(b) and Section 3(c) hereof) promptly prepare, file with the Commission and furnish, at its own expense, to the Underwriters and to any dealer upon request, either amendments or supplements to the Time of Sale Prospectus so that the statements in the Time of Sale Prospectus as so amended or supplemented will not include an untrue statement of a material fact or omit to state a material fact necessary in order to make the statements therein, in the light of the circumstances when delivered to a prospective purchaser, not misleading or so that the Time of Sale Prospectus, as amended or supplemented, will no longer conflict with the information contained in the Registration Statement, or so that the Time of Sale Prospectus, as amended or supplemented, will comply with applicable law.</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w:t>
        <w:tab/>
      </w:r>
      <w:r>
        <w:rPr>
          <w:rFonts w:ascii="Times New Roman;Times;Serif" w:hAnsi="Times New Roman;Times;Serif"/>
          <w:b/>
          <w:i/>
          <w:caps w:val="false"/>
          <w:smallCaps w:val="false"/>
          <w:sz w:val="20"/>
        </w:rPr>
        <w:t>Certain Notifications and Required Actions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After the date of this Agreement, the Company shall promptly advise the Representatives in writing of: (i) the receipt of any comments of, or requests for additional or supplemental information from, the Commission; (ii) the time and date of any filing of any post-effective amendment to the Registration Statement or any amendment or supplement to any preliminary prospectus, the Time of Sale Prospectus, any free writing prospectus or the Prospectus; (iii) the time and date that any post-effective amendment to the Registration Statement becomes effective;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(iv) the issuance by the Commission of any stop order suspending the effectiveness of the Registration Statement or any post-effective amendment thereto or any amendment or supplement to any preliminary prospectus, the Time of Sale Prospectus or the Prospectus or of any order preventing or suspending the use of any preliminary prospectus, the Time of Sale Prospectus, any free writing prospectus, or the Prospectus, or of any proceedings to remove, suspend or terminate from listing or quotation the Shares from any securities exchange upon which they are listed for trading or included or designated for quotation, or of the Company becoming aware of the threatening or initiation of any proceedings for any of such purposes. If the Commission shall enter any such stop order at any time, the Company will use its best efforts to obtain the lifting of such order at the earliest possible moment. Additionally, the Company agrees that it shall comply with all applicable provisions of Rule 424(b), Rule 433 and Rule 430B under the Securities Act and will use its reasonable efforts to confirm that any filings made by the Company under Rule 424(b) or Rule 433 were received in a timely manner by the Commission.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w:t>
        <w:tab/>
      </w:r>
      <w:r>
        <w:rPr>
          <w:rFonts w:ascii="Times New Roman;Times;Serif" w:hAnsi="Times New Roman;Times;Serif"/>
          <w:b/>
          <w:i/>
          <w:caps w:val="false"/>
          <w:smallCaps w:val="false"/>
          <w:sz w:val="20"/>
        </w:rPr>
        <w:t>Amendments and Supplements to the Prospectus and Other Securities Act Matters.</w:t>
      </w:r>
      <w:r>
        <w:rPr>
          <w:rFonts w:ascii="Times New Roman;Times;Serif" w:hAnsi="Times New Roman;Times;Serif"/>
          <w:b w:val="false"/>
          <w:i w:val="false"/>
          <w:caps w:val="false"/>
          <w:smallCaps w:val="false"/>
          <w:sz w:val="20"/>
        </w:rPr>
        <w:t xml:space="preserve"> If any event shall occur or condition exist as a result of which it is necessary to amend or supplement the Prospectus so that the Prospectus does not include an untrue statement of a material fact or omit to state a material fact necessary in order to make the statements therein, in the light of the circumstances when the Prospectus is delivered (whether physically or through compliance with Rule 172 under the Securities Act or any similar rule) to a purchaser, not misleading, or if in the opinion of the Representatives or counsel for the Underwriters it is otherwise necessary to amend or supplement the Prospectus to comply with applicable law, the Company agrees (subject to Section 3(b) and Section 3(c)) hereof to promptly prepare, file with the Commission and furnish, at its own expense, to the Underwriters and to any dealer upon request, amendments or supplements to the Prospectus so that the statements in the Prospectus as so amended or supplemented will not include an untrue statement of a material fact or omit to state a material fact necessary in order to make the statements therein, in the light of the circumstances when the Prospectus is delivered (whether physically or through compliance with Rule 172 under the Securities Act or any similar rule) to a purchaser, not misleading or so that the Prospectus, as amended or supplemented, will comply with applicable law. Neither the Representatives’ consent to, nor delivery of, any such amendment or supplement shall constitute a waiver of any of the Company’s obligations under Section 3(b) or Section 3(c).</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(h)</w:t>
        <w:tab/>
      </w:r>
      <w:r>
        <w:rPr>
          <w:rFonts w:ascii="Times New Roman;Times;Serif" w:hAnsi="Times New Roman;Times;Serif"/>
          <w:b/>
          <w:i/>
          <w:caps w:val="false"/>
          <w:smallCaps w:val="false"/>
          <w:sz w:val="20"/>
        </w:rPr>
        <w:t>Blue Sky Compliance</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Company shall cooperate with the Representatives and counsel for the Underwriters to qualify or register the Offered Shares for sale under (or obtain exemptions from the application of) the state securities or blue sky laws or other foreign laws of those jurisdictions designated by the Representatives, shall comply with such laws and shall continue such qualifications, registrations and exemptions in effect so long as required for the distribution of the Offered Shares. The Company shall not be required to qualify as a foreign corporation or to take any action that would subject it to general service of process in any such jurisdiction where it is not presently qualified or where it would be subject to taxation as a foreign corporation. The Company will advise the Representatives promptly of the suspension of the qualification or registration of (or any such exemption relating to) the Offered Shares for offering, sale or trading in any jurisdiction or any initiation or threat of any proceeding for any such purpose, and in the event of the issuance of any order suspending such qualification, registration or exemption, the Company shall use its best efforts to obtain the withdrawal thereof as soon as practicable.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w:t>
        <w:tab/>
      </w:r>
      <w:r>
        <w:rPr>
          <w:rFonts w:ascii="Times New Roman;Times;Serif" w:hAnsi="Times New Roman;Times;Serif"/>
          <w:b/>
          <w:i/>
          <w:caps w:val="false"/>
          <w:smallCaps w:val="false"/>
          <w:sz w:val="20"/>
        </w:rPr>
        <w:t>Use of Proceeds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Company shall apply the net proceeds from the sale of the Offered Shares sold by it in the manner described under the caption “Use of Proceeds” in the Registration Statement, the Time of Sale Prospectus and the Prospectus.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(j)</w:t>
        <w:tab/>
      </w:r>
      <w:r>
        <w:rPr>
          <w:rFonts w:ascii="Times New Roman;Times;Serif" w:hAnsi="Times New Roman;Times;Serif"/>
          <w:b/>
          <w:i/>
          <w:caps w:val="false"/>
          <w:smallCaps w:val="false"/>
          <w:sz w:val="20"/>
        </w:rPr>
        <w:t>Transfer Agent</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Company shall engage and maintain, at its expense, a registrar and transfer agent for the Shares.</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(k)</w:t>
        <w:tab/>
      </w:r>
      <w:r>
        <w:rPr>
          <w:rFonts w:ascii="Times New Roman;Times;Serif" w:hAnsi="Times New Roman;Times;Serif"/>
          <w:b/>
          <w:i/>
          <w:caps w:val="false"/>
          <w:smallCaps w:val="false"/>
          <w:sz w:val="20"/>
        </w:rPr>
        <w:t>Earnings Statement</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Company will, to the extent otherwise required by law, make generally available to its security holders and to the Representatives as soon as practicable an earnings statement (which need not be audited) covering a period of at least twelve months beginning with the first fiscal quarter of the Company commencing after the date of this Agreement that will satisfy the provisions of Section 11(a) of the Securities Act and the rules and regulations of the Commission thereunder and Rule 158 of the Securities Act, which requirement may be satisfied by publicly filing the required information on EDGAR.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w:t>
        <w:tab/>
      </w:r>
      <w:r>
        <w:rPr>
          <w:rFonts w:ascii="Times New Roman;Times;Serif" w:hAnsi="Times New Roman;Times;Serif"/>
          <w:b/>
          <w:i/>
          <w:caps w:val="false"/>
          <w:smallCaps w:val="false"/>
          <w:sz w:val="20"/>
        </w:rPr>
        <w:t>Continued Compliance with Securities Laws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Company will comply with the Securities Act and the Exchange Act so as to permit the completion of the distribution of the Offered Shares as contemplated by this Agreement</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the Registration Statement, the Time of Sale Prospectus and the Prospectus. Without limiting the generality of the foregoing, the Company will, during the period when a prospectus relating to the Offered Shares is required by the Securities Act to be delivered (whether physically or through compliance with Rule 172 under the Securities Act or any similar rule), file on a timely basis with the Commission and the Nasdaq all reports and documents required to be filed under the Exchange Act.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w:t>
        <w:tab/>
      </w:r>
      <w:r>
        <w:rPr>
          <w:rFonts w:ascii="Times New Roman;Times;Serif" w:hAnsi="Times New Roman;Times;Serif"/>
          <w:b/>
          <w:i/>
          <w:caps w:val="false"/>
          <w:smallCaps w:val="false"/>
          <w:sz w:val="20"/>
        </w:rPr>
        <w:t>Listing</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Company will use its best efforts to list, subject to notice of issuance, the Offered Shares on the Nasdaq.</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w:t>
        <w:tab/>
      </w:r>
      <w:r>
        <w:rPr>
          <w:rFonts w:ascii="Times New Roman;Times;Serif" w:hAnsi="Times New Roman;Times;Serif"/>
          <w:b/>
          <w:i/>
          <w:caps w:val="false"/>
          <w:smallCaps w:val="false"/>
          <w:sz w:val="20"/>
        </w:rPr>
        <w:t>Company to Provide Copy of the Prospectus in Form That May be Downloaded from the Internet.</w:t>
      </w:r>
      <w:r>
        <w:rPr>
          <w:rFonts w:ascii="Times New Roman;Times;Serif" w:hAnsi="Times New Roman;Times;Serif"/>
          <w:b w:val="false"/>
          <w:i w:val="false"/>
          <w:caps w:val="false"/>
          <w:smallCaps w:val="false"/>
          <w:sz w:val="20"/>
        </w:rPr>
        <w:t xml:space="preserve"> If requested by the Representatives, the Company shall cause to be prepared and delivered, at its expense, within one business day from the effective date of this Agreement, to the Representatives an “</w:t>
      </w:r>
      <w:r>
        <w:rPr>
          <w:rFonts w:ascii="Times New Roman;Times;Serif" w:hAnsi="Times New Roman;Times;Serif"/>
          <w:b/>
          <w:i w:val="false"/>
          <w:caps w:val="false"/>
          <w:smallCaps w:val="false"/>
          <w:sz w:val="20"/>
        </w:rPr>
        <w:t>electronic Prospectus</w:t>
      </w:r>
      <w:r>
        <w:rPr>
          <w:rFonts w:ascii="Times New Roman;Times;Serif" w:hAnsi="Times New Roman;Times;Serif"/>
          <w:b w:val="false"/>
          <w:i w:val="false"/>
          <w:caps w:val="false"/>
          <w:smallCaps w:val="false"/>
          <w:sz w:val="20"/>
        </w:rPr>
        <w:t>” to be used by the Underwriters in connection with the offering and sale of the Offered Shares. As used herein, the term “</w:t>
      </w:r>
      <w:r>
        <w:rPr>
          <w:rFonts w:ascii="Times New Roman;Times;Serif" w:hAnsi="Times New Roman;Times;Serif"/>
          <w:b/>
          <w:i w:val="false"/>
          <w:caps w:val="false"/>
          <w:smallCaps w:val="false"/>
          <w:sz w:val="20"/>
        </w:rPr>
        <w:t>electronic Prospectus</w:t>
      </w:r>
      <w:r>
        <w:rPr>
          <w:rFonts w:ascii="Times New Roman;Times;Serif" w:hAnsi="Times New Roman;Times;Serif"/>
          <w:b w:val="false"/>
          <w:i w:val="false"/>
          <w:caps w:val="false"/>
          <w:smallCaps w:val="false"/>
          <w:sz w:val="20"/>
        </w:rPr>
        <w:t>” means a form of Prospectus, and any amendment or supplement thereto, that meets each of the following conditions: (i) it shall be encoded in an electronic format, satisfactory to the Representatives, that may be transmitted electronically by the Representatives and the other Underwriters to offerees and purchasers of the Offered Shares; (ii) it shall disclose the same information as the paper Prospectus, except to the extent that graphic and image material cannot be disseminated electronically, in which case such graphic and image material shall be replaced in the electronic Prospectus with a fair and accurate narrative description or tabular representation of such material, as appropriate; and (iii) it shall be in or convertible into a paper format or an electronic format, satisfactory to BofA, that will allow investors to store and have continuously ready access to the Prospectus at any future time, without charge to investors (other than any fee charged for subscription to the Internet as a whole and for on-line time). The Company hereby confirms that it has included or will include in the Prospectus filed pursuant to EDGAR or otherwise with the Commission and in the Registration Statement at the time it was declared effective an undertaking that, upon receipt of a request by an investor or their representative, the Company shall transmit or cause to be transmitted promptly, without charge, a paper copy of the Prospectus.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w:t>
        <w:tab/>
      </w:r>
      <w:r>
        <w:rPr>
          <w:rFonts w:ascii="Times New Roman;Times;Serif" w:hAnsi="Times New Roman;Times;Serif"/>
          <w:b/>
          <w:i/>
          <w:caps w:val="false"/>
          <w:smallCaps w:val="false"/>
          <w:sz w:val="20"/>
        </w:rPr>
        <w:t>Agreement Not to Offer or Sell Additional Shares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During the period commencing on and including the date hereof and continuing through and including the 90th day following the date of the Prospectus (such period, as extended as described below, being referred to herein as the “</w:t>
      </w:r>
      <w:r>
        <w:rPr>
          <w:rFonts w:ascii="Times New Roman;Times;Serif" w:hAnsi="Times New Roman;Times;Serif"/>
          <w:b/>
          <w:i w:val="false"/>
          <w:caps w:val="false"/>
          <w:smallCaps w:val="false"/>
          <w:sz w:val="20"/>
        </w:rPr>
        <w:t>Lock-up Period</w:t>
      </w:r>
      <w:r>
        <w:rPr>
          <w:rFonts w:ascii="Times New Roman;Times;Serif" w:hAnsi="Times New Roman;Times;Serif"/>
          <w:b w:val="false"/>
          <w:i w:val="false"/>
          <w:caps w:val="false"/>
          <w:smallCaps w:val="false"/>
          <w:sz w:val="20"/>
        </w:rPr>
        <w:t>”), the Company will not, without the prior written consent of the Representatives (which consent may be withheld in their sole discretion), directly or indirectly: (i) sell, offer to sell, contract to sell or lend any Shares or Related Securities (as defined below); (ii) effect any short sale, or establish or increase any “put equivalent position” (as defined in Rule 16a-1(h) under the Exchange Act) or liquidate or decrease any “call equivalent position” (as defined in Rule 16a-1(b) under the Exchange Act) of any Shares or Related Securities; (iii) pledge, hypothecate or grant any security interest in any Shares or Related Securities; (iv) in any other way transfer or dispose of any Shares or Related Securities; (v) enter into any swap, hedge or similar arrangement or agreement that transfers, in whole or in part, the economic risk of</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ownership of any Shares or Related Securities, regardless of whether any such transaction is to be settled in securities, in cash or otherwise; (vi) announce the offering of any Shares or Related Securities; (vii) submit or file any registration statement under the Securities Act in respect of any Shares or Related Securities (other than as contemplated by this Agreement with respect to the Offered Shares); (viii) effect a reverse stock split, recapitalization, share consolidation, reclassification or similar transaction affecting the outstanding Shares;</w:t>
      </w:r>
      <w:r>
        <w:rPr>
          <w:rFonts w:ascii="Times New Roman;Times;Serif" w:hAnsi="Times New Roman;Times;Serif"/>
          <w:b w:val="false"/>
          <w:i w:val="false"/>
          <w:caps w:val="false"/>
          <w:smallCaps w:val="false"/>
          <w:color w:val="1F497D"/>
          <w:sz w:val="20"/>
        </w:rPr>
        <w:t xml:space="preserve"> </w:t>
      </w:r>
      <w:r>
        <w:rPr>
          <w:rFonts w:ascii="Times New Roman;Times;Serif" w:hAnsi="Times New Roman;Times;Serif"/>
          <w:b w:val="false"/>
          <w:i w:val="false"/>
          <w:caps w:val="false"/>
          <w:smallCaps w:val="false"/>
          <w:sz w:val="20"/>
        </w:rPr>
        <w:t xml:space="preserve">or (ix) publicly announce the intention to do any of the foregoing;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the Company may (A) effect the transactions contemplated hereby; (B) issue Shares, restricted stock units (“</w:t>
      </w:r>
      <w:r>
        <w:rPr>
          <w:rFonts w:ascii="Times New Roman;Times;Serif" w:hAnsi="Times New Roman;Times;Serif"/>
          <w:b/>
          <w:i w:val="false"/>
          <w:caps w:val="false"/>
          <w:smallCaps w:val="false"/>
          <w:sz w:val="20"/>
        </w:rPr>
        <w:t>RSUs</w:t>
      </w:r>
      <w:r>
        <w:rPr>
          <w:rFonts w:ascii="Times New Roman;Times;Serif" w:hAnsi="Times New Roman;Times;Serif"/>
          <w:b w:val="false"/>
          <w:i w:val="false"/>
          <w:caps w:val="false"/>
          <w:smallCaps w:val="false"/>
          <w:sz w:val="20"/>
        </w:rPr>
        <w:t>”), or options to purchase Shares, or issue Shares upon exercise of options or settlement of RSUs, pursuant to any stock option, stock bonus or other stock plan or arrangement described in the Registration Statement, the Time of Sale Prospectus and the Prospectus; (C) file one or more registration statements on Form S-8 to register Shares or Related Securities issued or issuable pursuant to any plans or programs described in clause (B) above; (D) issue Shares or Related Securities, or enter into an agreement to issue Shares or Related Securities, in connection with any merger, joint venture, strategic alliance, commercial, lending or other collaborative or strategic transaction, or the acquisition or license of the business, property, technology or other assets of another individual or entity or the assumption of an employee benefit plan in connection with a merger or acquisition; provided that the aggregate number of Shares (including, with respect to Related Securities, on an as-converted or as-exercised basis, as the case may be) that the Company may issue or agree to issue pursuant to this clause (D) shall not exceed 5% of the total number of Shares of the Company immediately following the completion of the transactions contemplated by this Agreement and that each recipient thereof provides to the Representatives a signed Lock-up Agreement; (E) the filing by the Company of any registration statement on Form F-3 (or Form F-1, if at the time of such filing the Company does not meet the then-applicable requirements for use of Form F-3), or any successor form thereto, including filing of a prospectus related to an at-the-market sales agreement; (F) issue Shares upon exercise of warrants to purchase Shares, pursuant to the terms of such warrants described in the Registration Statement, the Time of Sale Prospectus and the Prospectus; provided that the Company shall comply with the provisions of this paragraph (n) in connection with any transactions conducted under any such registration statement; and (G) issue and sell Shares in connection with the concurrent private placement as described in the Registration Statement, the Time of Sale Prospectus and the Prospectus. For purposes of the foregoing, “</w:t>
      </w:r>
      <w:r>
        <w:rPr>
          <w:rFonts w:ascii="Times New Roman;Times;Serif" w:hAnsi="Times New Roman;Times;Serif"/>
          <w:b/>
          <w:i w:val="false"/>
          <w:caps w:val="false"/>
          <w:smallCaps w:val="false"/>
          <w:sz w:val="20"/>
        </w:rPr>
        <w:t>Related Securities</w:t>
      </w:r>
      <w:r>
        <w:rPr>
          <w:rFonts w:ascii="Times New Roman;Times;Serif" w:hAnsi="Times New Roman;Times;Serif"/>
          <w:b w:val="false"/>
          <w:i w:val="false"/>
          <w:caps w:val="false"/>
          <w:smallCaps w:val="false"/>
          <w:sz w:val="20"/>
        </w:rPr>
        <w:t>” shall mean any options or warrants or other rights to acquire Shares or any securities exchangeable or exercisable for or convertible into Shares, or to acquire other securities or rights ultimately exchangeable or exercisable for, or convertible into, Shares.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w:t>
        <w:tab/>
      </w:r>
      <w:r>
        <w:rPr>
          <w:rFonts w:ascii="Times New Roman;Times;Serif" w:hAnsi="Times New Roman;Times;Serif"/>
          <w:b/>
          <w:i/>
          <w:caps w:val="false"/>
          <w:smallCaps w:val="false"/>
          <w:sz w:val="20"/>
        </w:rPr>
        <w:t>Future Reports to the Representatives.</w:t>
      </w:r>
      <w:r>
        <w:rPr>
          <w:rFonts w:ascii="Times New Roman;Times;Serif" w:hAnsi="Times New Roman;Times;Serif"/>
          <w:b w:val="false"/>
          <w:i w:val="false"/>
          <w:caps w:val="false"/>
          <w:smallCaps w:val="false"/>
          <w:sz w:val="20"/>
        </w:rPr>
        <w:t xml:space="preserve"> During the period of five years hereafter, the Company will furnish to the Representatives, c/o BofA Securities, Inc., One Bryant Park, New York, New York 10036, Email: dg.ecm_execution_services@bofa.com, Attention: Syndicate Department, with a copy to: Email: dg.ecm_legal@bofa.com, Attention: ECM Legal, c/o Jefferies, at 520 Madison Avenue, New York, New York 10022, Attention: Global Head of Syndicate and c/o Evercore Group L.L.C., 55 East 52nd Street, 35th Floor, New York, New York 10055, Attention: ECM General Counsel: (i) as soon as practicable after the end of each fiscal year, copies of the Annual Report of the Company containing the balance sheet of the Company as of the close of such fiscal year and statements of income, stockholders’ equity and cash flows for the year then ended and the opinion thereon of the Company’s independent public or certified public accountants; (ii) as soon as practicable after the filing thereof, copies of each Annual Report on Form 20-F, Report on Form 6-K or other report filed by the Company with the Commission, FINRA or any securities exchange; and (iii) as soon as available, copies of any report or communication of the Company furnished or made available generally to holders of its share capital;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the requirements of this Section 3(o) shall be satisfied to the extent that such reports, statement, communications, financial statements or other documents are available on EDGAR.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(q)</w:t>
        <w:tab/>
      </w:r>
      <w:r>
        <w:rPr>
          <w:rFonts w:ascii="Times New Roman;Times;Serif" w:hAnsi="Times New Roman;Times;Serif"/>
          <w:b/>
          <w:i/>
          <w:caps w:val="false"/>
          <w:smallCaps w:val="false"/>
          <w:sz w:val="20"/>
        </w:rPr>
        <w:t>Investment Limitation</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Company shall not invest or otherwise use the proceeds received by the Company from its sale of the Offered Shares in such a manner as would require the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or any of its subsidiaries to register as an investment company under the Investment Company Act.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w:t>
        <w:tab/>
      </w:r>
      <w:r>
        <w:rPr>
          <w:rFonts w:ascii="Times New Roman;Times;Serif" w:hAnsi="Times New Roman;Times;Serif"/>
          <w:b/>
          <w:i/>
          <w:caps w:val="false"/>
          <w:smallCaps w:val="false"/>
          <w:sz w:val="20"/>
        </w:rPr>
        <w:t>No Stabilization or Manipulation; Compliance with Regulation M</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Company will not take, and will ensure that no affiliate of the Company will take, directly or indirectly, any action designed to or that might cause or result in stabilization or manipulation of the price of the Shares or any reference security with respect to the Shares, whether to facilitate the sale or resale of the Offered Shares or otherwise, and the Company will, and shall cause each of its affiliates to, comply with all applicable provisions of Regulation M.</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w:t>
        <w:tab/>
      </w:r>
      <w:r>
        <w:rPr>
          <w:rFonts w:ascii="Times New Roman;Times;Serif" w:hAnsi="Times New Roman;Times;Serif"/>
          <w:b/>
          <w:i/>
          <w:caps w:val="false"/>
          <w:smallCaps w:val="false"/>
          <w:sz w:val="20"/>
        </w:rPr>
        <w:t>Enforce Lock-Up Agreements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During the Lock-up Period, the Company will enforce all agreements between the Company and any of its securityholders that restrict or prohibit, expressly or in operation, the offer, sale or transfer of Shares or Related Securities or any of the other actions restricted or prohibited under the terms of the form of Lock-up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w:t>
        <w:tab/>
      </w:r>
      <w:r>
        <w:rPr>
          <w:rFonts w:ascii="Times New Roman;Times;Serif" w:hAnsi="Times New Roman;Times;Serif"/>
          <w:b/>
          <w:i/>
          <w:caps w:val="false"/>
          <w:smallCaps w:val="false"/>
          <w:sz w:val="20"/>
        </w:rPr>
        <w:t>Company to Provide Interim Financial Statements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Prior to the First Closing Date and each applicable Option Closing Date, the Company will furnish the Underwriters, if and as soon as they have been prepared by or are available to the Company, a copy of any unaudited interim financial statements of the Company for any period subsequent to the period covered by the most recent financial statements appearing in the Registration Statement and the Prospectus.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(u)</w:t>
        <w:tab/>
      </w:r>
      <w:r>
        <w:rPr>
          <w:rFonts w:ascii="Times New Roman;Times;Serif" w:hAnsi="Times New Roman;Times;Serif"/>
          <w:b/>
          <w:i/>
          <w:caps w:val="false"/>
          <w:smallCaps w:val="false"/>
          <w:sz w:val="20"/>
        </w:rPr>
        <w:t xml:space="preserve">Amendments and Supplements to Permitted Section 5(d) Communications. </w:t>
      </w:r>
      <w:r>
        <w:rPr>
          <w:rFonts w:ascii="Times New Roman;Times;Serif" w:hAnsi="Times New Roman;Times;Serif"/>
          <w:b w:val="false"/>
          <w:i w:val="false"/>
          <w:caps w:val="false"/>
          <w:smallCaps w:val="false"/>
          <w:sz w:val="20"/>
        </w:rPr>
        <w:t>If at any time following the distribution of any Permitted Section 5(d) Communication, there occurred or occurs an event or development as a result of which such Permitted Section 5(d) Communication included or would include an untrue statement of a material fact or omitted or would omit to state a material fact necessary in order to make the statements therein, in the light of the circumstances existing at that subsequent time, not misleading, the Company will promptly notify the Representatives and will promptly amend or supplement, at its own expense, such Permitted Section 5(d) Communication to eliminate or correct such untrue statement or omission.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(v)</w:t>
        <w:tab/>
      </w:r>
      <w:r>
        <w:rPr>
          <w:rFonts w:ascii="Times New Roman;Times;Serif" w:hAnsi="Times New Roman;Times;Serif"/>
          <w:b/>
          <w:i/>
          <w:caps w:val="false"/>
          <w:smallCaps w:val="false"/>
          <w:sz w:val="20"/>
        </w:rPr>
        <w:t>Sales Taxes.</w:t>
      </w:r>
      <w:r>
        <w:rPr>
          <w:rFonts w:ascii="Times New Roman;Times;Serif" w:hAnsi="Times New Roman;Times;Serif"/>
          <w:b w:val="false"/>
          <w:i w:val="false"/>
          <w:caps w:val="false"/>
          <w:smallCaps w:val="false"/>
          <w:sz w:val="20"/>
        </w:rPr>
        <w:t xml:space="preserve"> If the performance by the Underwriters of any of their obligations under this Agreement shall represent for VAT purposes under any applicable law the making by the Underwriters of any supply of goods or services to the Company (to the extent applicable), the Company shall pay to the Underwriters, in addition to the amounts otherwise payable by the Company pursuant to this Agreement, an amount equal to the VAT chargeable on any such supply of goods and services provided that the Underwriters have issued the Company with an appropriate VAT invoice in respect of the supply to which the payment relates. Where a sum (a “</w:t>
      </w:r>
      <w:r>
        <w:rPr>
          <w:rFonts w:ascii="Times New Roman;Times;Serif" w:hAnsi="Times New Roman;Times;Serif"/>
          <w:b/>
          <w:i w:val="false"/>
          <w:caps w:val="false"/>
          <w:smallCaps w:val="false"/>
          <w:sz w:val="20"/>
        </w:rPr>
        <w:t>Relevant Sum</w:t>
      </w:r>
      <w:r>
        <w:rPr>
          <w:rFonts w:ascii="Times New Roman;Times;Serif" w:hAnsi="Times New Roman;Times;Serif"/>
          <w:b w:val="false"/>
          <w:i w:val="false"/>
          <w:caps w:val="false"/>
          <w:smallCaps w:val="false"/>
          <w:sz w:val="20"/>
        </w:rPr>
        <w:t>”) is paid or reimbursed to the Underwriters pursuant to this Agreement in respect of any cost, expense or other amount and that cost, expense or other amount includes an amount in respect of irrecoverable VAT (the “</w:t>
      </w:r>
      <w:r>
        <w:rPr>
          <w:rFonts w:ascii="Times New Roman;Times;Serif" w:hAnsi="Times New Roman;Times;Serif"/>
          <w:b/>
          <w:i w:val="false"/>
          <w:caps w:val="false"/>
          <w:smallCaps w:val="false"/>
          <w:sz w:val="20"/>
        </w:rPr>
        <w:t>VAT Element</w:t>
      </w:r>
      <w:r>
        <w:rPr>
          <w:rFonts w:ascii="Times New Roman;Times;Serif" w:hAnsi="Times New Roman;Times;Serif"/>
          <w:b w:val="false"/>
          <w:i w:val="false"/>
          <w:caps w:val="false"/>
          <w:smallCaps w:val="false"/>
          <w:sz w:val="20"/>
        </w:rPr>
        <w:t>”) which has been certified as such by the Underwriters (acting reasonably), then the Company, to the extent applicable, shall, in addition, pay an amount equal to the VAT Element to the Underwriters. For the purposes of this Agreement, “</w:t>
      </w:r>
      <w:r>
        <w:rPr>
          <w:rFonts w:ascii="Times New Roman;Times;Serif" w:hAnsi="Times New Roman;Times;Serif"/>
          <w:b/>
          <w:i w:val="false"/>
          <w:caps w:val="false"/>
          <w:smallCaps w:val="false"/>
          <w:sz w:val="20"/>
        </w:rPr>
        <w:t>VAT</w:t>
      </w:r>
      <w:r>
        <w:rPr>
          <w:rFonts w:ascii="Times New Roman;Times;Serif" w:hAnsi="Times New Roman;Times;Serif"/>
          <w:b w:val="false"/>
          <w:i w:val="false"/>
          <w:caps w:val="false"/>
          <w:smallCaps w:val="false"/>
          <w:sz w:val="20"/>
        </w:rPr>
        <w:t>” means  (i) any tax imposed in compliance with the Council Directive of 28 November 2006 on the common system of value added tax (EC Directive 2006/112) and (ii) any other tax of a similar nature, whether imposed in a member state of the European Union in substitution for or levied in addition to such tax referred to in (i) above or imposed elsewhere.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w:t>
        <w:tab/>
      </w:r>
      <w:r>
        <w:rPr>
          <w:rFonts w:ascii="Times New Roman;Times;Serif" w:hAnsi="Times New Roman;Times;Serif"/>
          <w:b/>
          <w:i/>
          <w:caps w:val="false"/>
          <w:smallCaps w:val="false"/>
          <w:sz w:val="20"/>
        </w:rPr>
        <w:t>Stamp.</w:t>
      </w:r>
      <w:r>
        <w:rPr>
          <w:rFonts w:ascii="Times New Roman;Times;Serif" w:hAnsi="Times New Roman;Times;Serif"/>
          <w:b w:val="false"/>
          <w:i w:val="false"/>
          <w:caps w:val="false"/>
          <w:smallCaps w:val="false"/>
          <w:sz w:val="20"/>
        </w:rPr>
        <w:t xml:space="preserve"> There are no stamp or other issuance or transfer taxes or duties or other similar fees or charges imposed under the laws of Luxembourg (or, in each case, any political subdivision thereof or therein) required to be paid in respect of the execution and delivery of this Agreement or the issuance or sale of the Offered Shares by the Company except in Luxembourg for any fixed or ad valorem registration duty in Luxembourg (i) upon voluntary registration (</w:t>
      </w:r>
      <w:r>
        <w:rPr>
          <w:rFonts w:ascii="Times New Roman;Times;Serif" w:hAnsi="Times New Roman;Times;Serif"/>
          <w:b w:val="false"/>
          <w:i/>
          <w:caps w:val="false"/>
          <w:smallCaps w:val="false"/>
          <w:sz w:val="20"/>
        </w:rPr>
        <w:t>présentation à l’enregistrement</w:t>
      </w:r>
      <w:r>
        <w:rPr>
          <w:rFonts w:ascii="Times New Roman;Times;Serif" w:hAnsi="Times New Roman;Times;Serif"/>
          <w:b w:val="false"/>
          <w:i w:val="false"/>
          <w:caps w:val="false"/>
          <w:smallCaps w:val="false"/>
          <w:sz w:val="20"/>
        </w:rPr>
        <w:t xml:space="preserve">) of the Agreement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any related documents before the Registration Duties, Estates and VAT Authority (</w:t>
      </w:r>
      <w:r>
        <w:rPr>
          <w:rFonts w:ascii="Times New Roman;Times;Serif" w:hAnsi="Times New Roman;Times;Serif"/>
          <w:b w:val="false"/>
          <w:i/>
          <w:caps w:val="false"/>
          <w:smallCaps w:val="false"/>
          <w:sz w:val="20"/>
        </w:rPr>
        <w:t>Administration de l’enregistrement, des domains et de la TVA</w:t>
      </w:r>
      <w:r>
        <w:rPr>
          <w:rFonts w:ascii="Times New Roman;Times;Serif" w:hAnsi="Times New Roman;Times;Serif"/>
          <w:b w:val="false"/>
          <w:i w:val="false"/>
          <w:caps w:val="false"/>
          <w:smallCaps w:val="false"/>
          <w:sz w:val="20"/>
        </w:rPr>
        <w:t>) in Luxembourg, or (ii) if the Agreement and any related documents are (a) enclosed to a compulsory registrable deed under Luxembourg law (</w:t>
      </w:r>
      <w:r>
        <w:rPr>
          <w:rFonts w:ascii="Times New Roman;Times;Serif" w:hAnsi="Times New Roman;Times;Serif"/>
          <w:b w:val="false"/>
          <w:i/>
          <w:caps w:val="false"/>
          <w:smallCaps w:val="false"/>
          <w:sz w:val="20"/>
        </w:rPr>
        <w:t>acte obligatoirement enregistrable</w:t>
      </w:r>
      <w:r>
        <w:rPr>
          <w:rFonts w:ascii="Times New Roman;Times;Serif" w:hAnsi="Times New Roman;Times;Serif"/>
          <w:b w:val="false"/>
          <w:i w:val="false"/>
          <w:caps w:val="false"/>
          <w:smallCaps w:val="false"/>
          <w:sz w:val="20"/>
        </w:rPr>
        <w:t>) or (b) deposited with the official records of a notary (</w:t>
      </w:r>
      <w:r>
        <w:rPr>
          <w:rFonts w:ascii="Times New Roman;Times;Serif" w:hAnsi="Times New Roman;Times;Serif"/>
          <w:b w:val="false"/>
          <w:i/>
          <w:caps w:val="false"/>
          <w:smallCaps w:val="false"/>
          <w:sz w:val="20"/>
        </w:rPr>
        <w:t>déposé au rang des minutes d’un notaire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Representatives, on behalf of the several Underwriters, may, in their sole discretion, waive in writing the performance by the Company of any one or more of the foregoing covenants or extend the time for their performance.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4.</w:t>
        <w:tab/>
        <w:t>Payment of Expenses.</w:t>
      </w:r>
      <w:r>
        <w:rPr>
          <w:rFonts w:ascii="Times New Roman;Times;Serif" w:hAnsi="Times New Roman;Times;Serif"/>
          <w:b w:val="false"/>
          <w:i w:val="false"/>
          <w:caps w:val="false"/>
          <w:smallCaps w:val="false"/>
          <w:sz w:val="20"/>
        </w:rPr>
        <w:t xml:space="preserve"> The Company agrees to pay all costs, fees and expenses incurred in connection with the performance of its obligations hereunder and in connection with the transactions contemplated hereby, including without limitation (i) all expenses incident to the issuance and delivery of the Offered Shares (including all printing and engraving costs), (ii) all fees and expenses of the registrar and transfer agent of the Shares, (iii) all necessary issue, transfer and other stamp taxes in connection with the issuance and sale of the Offered Shares to the Underwriters, (iv) all fees and expenses of the Company’s counsel, independent public or certified public accountants and other advisors, (v) all costs and expenses incurred in connection with the preparation, printing, filing, shipping and distribution of the Registration Statement (including financial statements, exhibits, schedules, consents and certificates of experts), the Time of Sale Prospectus, the Prospectus, each free writing prospectus prepared by or on behalf of, used by, or referred to by the Company, and each preliminary prospectus, each Permitted Section 5(d) Communication, and all amendments and supplements thereto, and this Agreement, (vi) all filing fees, attorneys’ fees and expenses incurred by the Company or the Underwriters in connection with qualifying or registering (or obtaining exemptions from the qualification or registration of) all or any part of the Offered Shares for offer and sale under the state securities or blue sky laws, and, if requested by the Representatives, preparing and printing a “Blue Sky Survey” or memorandum, and any supplements thereto, advising the Underwriters of such qualifications, registrations and exemptions, (vii) the costs, fees and expenses incurred by the Underwriters in connection with determining their compliance with the rules and regulations of FINRA related to the Underwriters’ participation in the offering and distribution of the Offered Shares, including any related filing fees and the legal fees of, and disbursements by, counsel to the Underwriters, provided that the fees and expenses pursuant to clauses (vi) and (vii) shall not, in the aggregate, exceed $20,000, (viii) the costs and expenses of the Company relating to investor presentations on any “road show”, any Permitted Section 5(d) Communication or any Section 5(d) Oral Communication undertaken in connection with the offering of the Offered Shares, including, without limitation, expenses associated with the preparation or dissemination of any electronic road show, expenses associated with the production of road show slides and graphics, fees and expenses of any consultants engaged in connection with the road show presentations with the prior approval of the Company, travel and lodging expenses of the representatives, employees and officers of the Company and any such consultants, and 50% of the cost of any aircraft chartered in connection with the road show (it being understood that the Underwriters will pay or cause to be paid the other 50% of the cost of such aircraft), (ix) the fees and expenses associated with listing the Offered Shares on the Nasdaq and (x) all other fees, costs and expenses relating to the Registration Statement;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except as provided in this ‎Section 4 or in ‎Section 7, ‎Section 9 or ‎Section 10 hereof, the Underwriters shall pay their own expenses, including the fees and disbursements of their counsel not contemplated herein, any transfer taxes on the resale of any Securities by them and the expenses of advertising any offering of the Securities made by the Underwriters.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w:t>
        <w:tab/>
        <w:t>Covenant of the Underwriters.</w:t>
      </w:r>
      <w:r>
        <w:rPr>
          <w:rFonts w:ascii="Times New Roman;Times;Serif" w:hAnsi="Times New Roman;Times;Serif"/>
          <w:b w:val="false"/>
          <w:i w:val="false"/>
          <w:caps w:val="false"/>
          <w:smallCaps w:val="false"/>
          <w:sz w:val="20"/>
        </w:rPr>
        <w:t xml:space="preserve"> Each Underwriter severally and not jointly covenants with the Company not to take any action that would result in the Company being required to file with the Commission pursuant to Rule 433(d) under the Securities Act a free writing prospectus prepared by or on behalf of such Underwriter that otherwise would not, but for such actions, be required to be filed by the Company under Rule 433(d).</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26</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6.</w:t>
        <w:tab/>
        <w:t>Conditions of the Obligations of the Underwriters.</w:t>
      </w:r>
      <w:r>
        <w:rPr>
          <w:rFonts w:ascii="Times New Roman;Times;Serif" w:hAnsi="Times New Roman;Times;Serif"/>
          <w:b w:val="false"/>
          <w:i w:val="false"/>
          <w:caps w:val="false"/>
          <w:smallCaps w:val="false"/>
          <w:sz w:val="20"/>
        </w:rPr>
        <w:t xml:space="preserve"> The respective obligations of the several Underwriters hereunder to subscribe the Offered Shares as provided herein on the First Closing Date and, with respect to the Optional Shares, each applicable Option Closing Date, as the case may be, shall be subject to the accuracy of the representations and warranties on the part of the Company set forth in ‎Section 1 hereof as of the date hereof and as of the First Closing Date as though then made and, with respect to the Optional Shares, as of each applicable Option Closing Date as though then made, to the timely performance by the Company of its covenants and other obligations hereunder, and to each of the following additional conditions: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w:t>
        <w:tab/>
      </w:r>
      <w:r>
        <w:rPr>
          <w:rFonts w:ascii="Times New Roman;Times;Serif" w:hAnsi="Times New Roman;Times;Serif"/>
          <w:b/>
          <w:i/>
          <w:caps w:val="false"/>
          <w:smallCaps w:val="false"/>
          <w:sz w:val="20"/>
        </w:rPr>
        <w:t>Comfort Letter</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On the date hereof, the Representatives shall have received from Deloitte ehf., independent registered public accountants for the Company, a letter dated the date hereof addressed to the Underwriters, in form and substance satisfactory to the Representatives, containing statements and information of the type ordinarily included in accountant’s “comfort letters” to underwriters, delivered according to Statement of Auditing Standards No. 72 (or any successor bulletin), with respect to the audited and unaudited financial statements and certain financial information contained in the Registration Statement, the Time of Sale Prospectus and each free writing prospectus.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w:t>
        <w:tab/>
      </w:r>
      <w:r>
        <w:rPr>
          <w:rFonts w:ascii="Times New Roman;Times;Serif" w:hAnsi="Times New Roman;Times;Serif"/>
          <w:b/>
          <w:i/>
          <w:caps w:val="false"/>
          <w:smallCaps w:val="false"/>
          <w:sz w:val="20"/>
        </w:rPr>
        <w:t xml:space="preserve">Compliance with Registration Requirements; No Stop Order; No Objection from FINRA. </w:t>
      </w:r>
      <w:r>
        <w:rPr>
          <w:rFonts w:ascii="Times New Roman;Times;Serif" w:hAnsi="Times New Roman;Times;Serif"/>
          <w:b w:val="false"/>
          <w:i w:val="false"/>
          <w:caps w:val="false"/>
          <w:smallCaps w:val="false"/>
          <w:sz w:val="20"/>
        </w:rPr>
        <w:t>For the period from and after the date of this Agreement and through and including the First Closing Date and, with respect to any Optional Shares purchased after the First Closing Date, each applicable Option Closing Date, as the case may be: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tab/>
        <w:t>The Company shall have filed the Prospectus with the Commission (including the information previously omitted from the Registration Statement pursuant to Rule 430B under the Securities Act) in the manner and within the time period required by Rule 424(b) under the Securities Act; or the Company shall have filed a post-effective amendment to the Registration Statement containing the information previously omitted from the Registration Statement pursuant to such Rule 430B, and such post-effective amendment shall have become effective.</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tab/>
        <w:t>No stop order suspending the effectiveness of the Registration Statement or any post-effective amendment to the Registration Statement shall be in effect, and no proceedings for such purpose shall have been instituted or threatened by the Commission.</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tab/>
        <w:t>If a filing has been made with FINRA, FINRA shall have raised no objection to the fairness and reasonableness of the underwriting terms and arrangements.</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w:t>
        <w:tab/>
      </w:r>
      <w:r>
        <w:rPr>
          <w:rFonts w:ascii="Times New Roman;Times;Serif" w:hAnsi="Times New Roman;Times;Serif"/>
          <w:b/>
          <w:i/>
          <w:caps w:val="false"/>
          <w:smallCaps w:val="false"/>
          <w:sz w:val="20"/>
        </w:rPr>
        <w:t>No Material Adverse Change or Ratings Agency Change</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For the period from and after the date of this Agreement and through and including the First Closing Date and, with respect to any Optional Shares purchased after the First Closing Date, each applicable Option Closing Date, as the case may be: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tab/>
        <w:t>in the judgment of the Representatives there shall not have occurred any Material Adverse Change; and</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tab/>
        <w:t>there shall not have occurred any downgrading, nor shall any notice have been given of any intended or potential downgrading or of any review for a possible change that does not indicate the direction of the possible change, in the rating accorded any securities of the Company or any of its subsidiaries by any “nationally recognized statistical rating organization” as that term is used in Rule 15c3-1(c)(2)(vi)(F) under the Exchange Act.</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27</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w:t>
        <w:tab/>
      </w:r>
      <w:r>
        <w:rPr>
          <w:rFonts w:ascii="Times New Roman;Times;Serif" w:hAnsi="Times New Roman;Times;Serif"/>
          <w:b/>
          <w:i/>
          <w:caps w:val="false"/>
          <w:smallCaps w:val="false"/>
          <w:sz w:val="20"/>
        </w:rPr>
        <w:t>Opinions of Counsel for the Company</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On each of the First Closing Date and each applicable Option Closing Date, as the case may be, the Representatives shall have received each of (i) the opinion of Arendt &amp; Medernach SA, Luxembourg counsel to the Company and (ii) the opinion and negative assurance letter of Cooley LLP, U.S. counsel for the Company, in a form acceptable to the Representatives.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w:t>
        <w:tab/>
      </w:r>
      <w:r>
        <w:rPr>
          <w:rFonts w:ascii="Times New Roman;Times;Serif" w:hAnsi="Times New Roman;Times;Serif"/>
          <w:b/>
          <w:i/>
          <w:caps w:val="false"/>
          <w:smallCaps w:val="false"/>
          <w:sz w:val="20"/>
        </w:rPr>
        <w:t>Opinion of Counsel for the Underwriters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On each of the First Closing Date and each applicable Option Closing Date, as the case may be, the Representatives shall have received the opinion and negative assurance letter of Paul Hastings LLP, counsel for the Underwriters in connection with the offer and sale of the Offered Shares, in form and substance satisfactory to the Underwriters, dated as of such date.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w:t>
        <w:tab/>
      </w:r>
      <w:r>
        <w:rPr>
          <w:rFonts w:ascii="Times New Roman;Times;Serif" w:hAnsi="Times New Roman;Times;Serif"/>
          <w:b/>
          <w:i/>
          <w:caps w:val="false"/>
          <w:smallCaps w:val="false"/>
          <w:sz w:val="20"/>
        </w:rPr>
        <w:t>Officers’ Certificate</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On each of the First Closing Date and each applicable Option Closing Date, as the case may be, the Representatives shall have received a certificate executed by the Chief Executive Officer or President of the Company and the Chief Financial Officer of the Company, dated as of such date, to the effect set forth in ‎Section 6(b)(ii) and further to the effect that: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tab/>
        <w:t>for the period from and including the date of this Agreement through and including such date, there has not occurred any Material Adverse Change;</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tab/>
        <w:t>the representations, warranties and covenants of the Company set forth in Section 1 of this Agreement are true and correct with the same force and effect as though expressly made on and as of such date; and</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tab/>
        <w:t>the Company has complied with all the agreements hereunder and satisfied all the conditions on its part to be performed or satisfied hereunder at or prior to such date.</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w:t>
        <w:tab/>
      </w:r>
      <w:r>
        <w:rPr>
          <w:rFonts w:ascii="Times New Roman;Times;Serif" w:hAnsi="Times New Roman;Times;Serif"/>
          <w:b/>
          <w:i/>
          <w:caps w:val="false"/>
          <w:smallCaps w:val="false"/>
          <w:sz w:val="20"/>
        </w:rPr>
        <w:t>Bring-down Comfort Letter</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On each of the First Closing Date and each applicable Option Closing Date, as the case may be, the Representatives shall have received from Deloitte ehf., independent registered public accountants for the Company, a letter dated such date, in form and substance satisfactory to the Representatives, which letter shall: (i) reaffirm the statements made in the letter furnished by them pursuant to ‎Section 6(a), except that the specified date referred to therein for the carrying out of procedures shall be no more than three business days prior to the First Closing Date or the applicable Option Closing Date, as the case may be; and (ii) cover certain financial information contained in the Prospectus.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(h)</w:t>
        <w:tab/>
      </w:r>
      <w:r>
        <w:rPr>
          <w:rFonts w:ascii="Times New Roman;Times;Serif" w:hAnsi="Times New Roman;Times;Serif"/>
          <w:b/>
          <w:i/>
          <w:caps w:val="false"/>
          <w:smallCaps w:val="false"/>
          <w:sz w:val="20"/>
        </w:rPr>
        <w:t>Lock-Up Agreements.</w:t>
      </w:r>
      <w:r>
        <w:rPr>
          <w:rFonts w:ascii="Times New Roman;Times;Serif" w:hAnsi="Times New Roman;Times;Serif"/>
          <w:b w:val="false"/>
          <w:i w:val="false"/>
          <w:caps w:val="false"/>
          <w:smallCaps w:val="false"/>
          <w:sz w:val="20"/>
        </w:rPr>
        <w:t xml:space="preserve"> On or prior to the date hereof, the Company shall have furnished to the Representatives an agreement in the form of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hereto from each of the persons listed on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hereto, and each such agreement shall be in full force and effect on each of the First Closing Date and each applicable Option Closing Date.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w:t>
        <w:tab/>
      </w:r>
      <w:r>
        <w:rPr>
          <w:rFonts w:ascii="Times New Roman;Times;Serif" w:hAnsi="Times New Roman;Times;Serif"/>
          <w:b/>
          <w:i/>
          <w:caps w:val="false"/>
          <w:smallCaps w:val="false"/>
          <w:sz w:val="20"/>
        </w:rPr>
        <w:t>Rule 462(b) Registration Statement</w:t>
      </w:r>
      <w:r>
        <w:rPr>
          <w:rFonts w:ascii="Times New Roman;Times;Serif" w:hAnsi="Times New Roman;Times;Serif"/>
          <w:b w:val="false"/>
          <w:i w:val="false"/>
          <w:caps w:val="false"/>
          <w:smallCaps w:val="false"/>
          <w:sz w:val="20"/>
        </w:rPr>
        <w:t>. In the event that a Rule 462(b) Registration Statement is filed in connection with the offering contemplated by this Agreement, such Rule 462(b) Registration Statement shall have been filed with the Commission on the date of this Agreement and shall have become effective automatically upon such filing.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(j)</w:t>
        <w:tab/>
      </w:r>
      <w:r>
        <w:rPr>
          <w:rFonts w:ascii="Times New Roman;Times;Serif" w:hAnsi="Times New Roman;Times;Serif"/>
          <w:b/>
          <w:i/>
          <w:caps w:val="false"/>
          <w:smallCaps w:val="false"/>
          <w:sz w:val="20"/>
        </w:rPr>
        <w:t>CFO Certificate</w:t>
      </w:r>
      <w:r>
        <w:rPr>
          <w:rFonts w:ascii="Times New Roman;Times;Serif" w:hAnsi="Times New Roman;Times;Serif"/>
          <w:b w:val="false"/>
          <w:i w:val="false"/>
          <w:caps w:val="false"/>
          <w:smallCaps w:val="false"/>
          <w:sz w:val="20"/>
        </w:rPr>
        <w:t xml:space="preserve">. On the date of this Agreement and on the First Closing Date or the applicable Option Closing Date, as the case may be, the Company shall have furnished to the Representatives a certificate, dated the respective dates of delivery thereof and addressed to the Underwriters, of its chief financial officer with respect to certain financial data contained in the Time of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28</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 Prospectus and the Prospectus, providing “management comfort” with respect to such information, in form and substance reasonably satisfactory to the Representatives.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(k)</w:t>
        <w:tab/>
      </w:r>
      <w:r>
        <w:rPr>
          <w:rFonts w:ascii="Times New Roman;Times;Serif" w:hAnsi="Times New Roman;Times;Serif"/>
          <w:b/>
          <w:i/>
          <w:caps w:val="false"/>
          <w:smallCaps w:val="false"/>
          <w:sz w:val="20"/>
        </w:rPr>
        <w:t>Director’s Certificate.</w:t>
      </w:r>
      <w:r>
        <w:rPr>
          <w:rFonts w:ascii="Times New Roman;Times;Serif" w:hAnsi="Times New Roman;Times;Serif"/>
          <w:b w:val="false"/>
          <w:i w:val="false"/>
          <w:caps w:val="false"/>
          <w:smallCaps w:val="false"/>
          <w:sz w:val="20"/>
        </w:rPr>
        <w:t xml:space="preserve"> On each of the First Closing Date and each applicable Option Closing Date, as the case may be, the Company shall have furnished to the Representatives a certificate executed by a director of the Company, signing in such capacity and dated such delivery date (as applicable, the “</w:t>
      </w:r>
      <w:r>
        <w:rPr>
          <w:rFonts w:ascii="Times New Roman;Times;Serif" w:hAnsi="Times New Roman;Times;Serif"/>
          <w:b/>
          <w:i w:val="false"/>
          <w:caps w:val="false"/>
          <w:smallCaps w:val="false"/>
          <w:sz w:val="20"/>
        </w:rPr>
        <w:t>Certificate Date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53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tab/>
        <w:t>certifying that attached thereto are true and complete copies of the resolutions duly adopted by the Board of Directors of the Company authorizing the execution and delivery of this Agreement and the consummation of the transactions contemplated hereby (including, without limitation, the issuance or sale of the Offered Shares pursuant to this Agreement), which authorization shall be in full force and effect on and as of the Certificate Date;</w:t>
      </w:r>
    </w:p>
    <w:p>
      <w:pPr>
        <w:pStyle w:val="TextBody"/>
        <w:bidi w:val="0"/>
        <w:spacing w:before="0" w:after="0"/>
        <w:ind w:left="0" w:right="0" w:firstLine="1530"/>
        <w:jc w:val="left"/>
        <w:rPr>
          <w:caps w:val="false"/>
          <w:smallCaps w:val="false"/>
        </w:rPr>
      </w:pPr>
      <w:r>
        <w:rPr>
          <w:caps w:val="false"/>
          <w:smallCaps w:val="false"/>
        </w:rPr>
        <w:t> </w:t>
      </w:r>
    </w:p>
    <w:p>
      <w:pPr>
        <w:pStyle w:val="TextBody"/>
        <w:bidi w:val="0"/>
        <w:spacing w:before="0" w:after="0"/>
        <w:ind w:left="0" w:right="0" w:firstLine="153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tab/>
        <w:t>certifying that attached thereto is a true and complete copy of the restated articles of association (</w:t>
      </w:r>
      <w:r>
        <w:rPr>
          <w:rFonts w:ascii="Times New Roman;Times;Serif" w:hAnsi="Times New Roman;Times;Serif"/>
          <w:b w:val="false"/>
          <w:i/>
          <w:caps w:val="false"/>
          <w:smallCaps w:val="false"/>
          <w:sz w:val="20"/>
        </w:rPr>
        <w:t>statuts coordonnés</w:t>
      </w:r>
      <w:r>
        <w:rPr>
          <w:rFonts w:ascii="Times New Roman;Times;Serif" w:hAnsi="Times New Roman;Times;Serif"/>
          <w:b w:val="false"/>
          <w:i w:val="false"/>
          <w:caps w:val="false"/>
          <w:smallCaps w:val="false"/>
          <w:sz w:val="20"/>
        </w:rPr>
        <w:t>) of the Company;</w:t>
      </w:r>
    </w:p>
    <w:p>
      <w:pPr>
        <w:pStyle w:val="TextBody"/>
        <w:bidi w:val="0"/>
        <w:spacing w:before="0" w:after="0"/>
        <w:ind w:left="0" w:right="0" w:firstLine="1530"/>
        <w:jc w:val="left"/>
        <w:rPr>
          <w:caps w:val="false"/>
          <w:smallCaps w:val="false"/>
        </w:rPr>
      </w:pPr>
      <w:r>
        <w:rPr>
          <w:caps w:val="false"/>
          <w:smallCaps w:val="false"/>
        </w:rPr>
        <w:t> </w:t>
      </w:r>
    </w:p>
    <w:p>
      <w:pPr>
        <w:pStyle w:val="TextBody"/>
        <w:bidi w:val="0"/>
        <w:spacing w:before="0" w:after="0"/>
        <w:ind w:left="0" w:right="0" w:firstLine="153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tab/>
        <w:t>certifying that attached thereto are true and complete (x) electronic excerpt (</w:t>
      </w:r>
      <w:r>
        <w:rPr>
          <w:rFonts w:ascii="Times New Roman;Times;Serif" w:hAnsi="Times New Roman;Times;Serif"/>
          <w:b w:val="false"/>
          <w:i/>
          <w:caps w:val="false"/>
          <w:smallCaps w:val="false"/>
          <w:sz w:val="20"/>
        </w:rPr>
        <w:t>extrait</w:t>
      </w:r>
      <w:r>
        <w:rPr>
          <w:rFonts w:ascii="Times New Roman;Times;Serif" w:hAnsi="Times New Roman;Times;Serif"/>
          <w:b w:val="false"/>
          <w:i w:val="false"/>
          <w:caps w:val="false"/>
          <w:smallCaps w:val="false"/>
          <w:sz w:val="20"/>
        </w:rPr>
        <w:t>) issued by the Luxembourg Register of Commerce and Companies dated the Certificate Date and (y) electronic certificate of non-registration of judicial decision or administrative dissolution without liquidation (</w:t>
      </w:r>
      <w:r>
        <w:rPr>
          <w:rFonts w:ascii="Times New Roman;Times;Serif" w:hAnsi="Times New Roman;Times;Serif"/>
          <w:b w:val="false"/>
          <w:i/>
          <w:caps w:val="false"/>
          <w:smallCaps w:val="false"/>
          <w:sz w:val="20"/>
        </w:rPr>
        <w:t>certificat de non-inscription d’une décision judiciaire ou de dissolution administrative sans liquidation</w:t>
      </w:r>
      <w:r>
        <w:rPr>
          <w:rFonts w:ascii="Times New Roman;Times;Serif" w:hAnsi="Times New Roman;Times;Serif"/>
          <w:b w:val="false"/>
          <w:i w:val="false"/>
          <w:caps w:val="false"/>
          <w:smallCaps w:val="false"/>
          <w:sz w:val="20"/>
        </w:rPr>
        <w:t xml:space="preserve">) issued by the Luxembourg Insolvency Register (Reginsol, </w:t>
      </w:r>
      <w:r>
        <w:rPr>
          <w:rFonts w:ascii="Times New Roman;Times;Serif" w:hAnsi="Times New Roman;Times;Serif"/>
          <w:b w:val="false"/>
          <w:i/>
          <w:caps w:val="false"/>
          <w:smallCaps w:val="false"/>
          <w:sz w:val="20"/>
        </w:rPr>
        <w:t>Registre de l’Insolvabilité</w:t>
      </w:r>
      <w:r>
        <w:rPr>
          <w:rFonts w:ascii="Times New Roman;Times;Serif" w:hAnsi="Times New Roman;Times;Serif"/>
          <w:b w:val="false"/>
          <w:i w:val="false"/>
          <w:caps w:val="false"/>
          <w:smallCaps w:val="false"/>
          <w:sz w:val="20"/>
        </w:rPr>
        <w:t>) held by the Luxembourg Register of Commerce and Companies dated the Certificate Date;</w:t>
      </w:r>
    </w:p>
    <w:p>
      <w:pPr>
        <w:pStyle w:val="TextBody"/>
        <w:bidi w:val="0"/>
        <w:spacing w:before="0" w:after="0"/>
        <w:ind w:left="0" w:right="0" w:firstLine="1530"/>
        <w:jc w:val="left"/>
        <w:rPr>
          <w:caps w:val="false"/>
          <w:smallCaps w:val="false"/>
        </w:rPr>
      </w:pPr>
      <w:r>
        <w:rPr>
          <w:caps w:val="false"/>
          <w:smallCaps w:val="false"/>
        </w:rPr>
        <w:t> </w:t>
      </w:r>
    </w:p>
    <w:p>
      <w:pPr>
        <w:pStyle w:val="TextBody"/>
        <w:bidi w:val="0"/>
        <w:spacing w:before="0" w:after="0"/>
        <w:ind w:left="0" w:right="0" w:firstLine="153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w:t>
        <w:tab/>
        <w:t>certifying and attesting to the office, incumbency, due authority and specimen signatures of each Person who executed this Agreement for and on behalf of the Company;</w:t>
      </w:r>
    </w:p>
    <w:p>
      <w:pPr>
        <w:pStyle w:val="TextBody"/>
        <w:bidi w:val="0"/>
        <w:spacing w:before="0" w:after="0"/>
        <w:ind w:left="0" w:right="0" w:firstLine="1530"/>
        <w:jc w:val="left"/>
        <w:rPr>
          <w:caps w:val="false"/>
          <w:smallCaps w:val="false"/>
        </w:rPr>
      </w:pPr>
      <w:r>
        <w:rPr>
          <w:caps w:val="false"/>
          <w:smallCaps w:val="false"/>
        </w:rPr>
        <w:t> </w:t>
      </w:r>
    </w:p>
    <w:p>
      <w:pPr>
        <w:pStyle w:val="TextBody"/>
        <w:bidi w:val="0"/>
        <w:spacing w:before="0" w:after="0"/>
        <w:ind w:left="0" w:right="0" w:firstLine="153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w:t>
        <w:tab/>
        <w:t>certifying that each copy document relating to the Company specified in this Section 6(k) is correct, complete and in full force and effect on and as of the Certificate Date;</w:t>
      </w:r>
    </w:p>
    <w:p>
      <w:pPr>
        <w:pStyle w:val="TextBody"/>
        <w:bidi w:val="0"/>
        <w:spacing w:before="0" w:after="0"/>
        <w:ind w:left="0" w:right="0" w:firstLine="1530"/>
        <w:jc w:val="left"/>
        <w:rPr>
          <w:caps w:val="false"/>
          <w:smallCaps w:val="false"/>
        </w:rPr>
      </w:pPr>
      <w:r>
        <w:rPr>
          <w:caps w:val="false"/>
          <w:smallCaps w:val="false"/>
        </w:rPr>
        <w:t> </w:t>
      </w:r>
    </w:p>
    <w:p>
      <w:pPr>
        <w:pStyle w:val="TextBody"/>
        <w:bidi w:val="0"/>
        <w:spacing w:before="0" w:after="0"/>
        <w:ind w:left="0" w:right="0" w:firstLine="153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w:t>
        <w:tab/>
        <w:t>certifying that the Company is not subject to nor, as applicable, does it meet or threaten to meet the criteria of bankruptcy (</w:t>
      </w:r>
      <w:r>
        <w:rPr>
          <w:rFonts w:ascii="Times New Roman;Times;Serif" w:hAnsi="Times New Roman;Times;Serif"/>
          <w:b w:val="false"/>
          <w:i/>
          <w:caps w:val="false"/>
          <w:smallCaps w:val="false"/>
          <w:sz w:val="20"/>
        </w:rPr>
        <w:t>faillite</w:t>
      </w:r>
      <w:r>
        <w:rPr>
          <w:rFonts w:ascii="Times New Roman;Times;Serif" w:hAnsi="Times New Roman;Times;Serif"/>
          <w:b w:val="false"/>
          <w:i w:val="false"/>
          <w:caps w:val="false"/>
          <w:smallCaps w:val="false"/>
          <w:sz w:val="20"/>
        </w:rPr>
        <w:t>), administrative dissolution without liquidation proceedings (</w:t>
      </w:r>
      <w:r>
        <w:rPr>
          <w:rFonts w:ascii="Times New Roman;Times;Serif" w:hAnsi="Times New Roman;Times;Serif"/>
          <w:b w:val="false"/>
          <w:i/>
          <w:caps w:val="false"/>
          <w:smallCaps w:val="false"/>
          <w:sz w:val="20"/>
        </w:rPr>
        <w:t>procédure de dissolution administrative sans liquidation</w:t>
      </w:r>
      <w:r>
        <w:rPr>
          <w:rFonts w:ascii="Times New Roman;Times;Serif" w:hAnsi="Times New Roman;Times;Serif"/>
          <w:b w:val="false"/>
          <w:i w:val="false"/>
          <w:caps w:val="false"/>
          <w:smallCaps w:val="false"/>
          <w:sz w:val="20"/>
        </w:rPr>
        <w:t>), insolvency, voluntary or judicial liquidation (</w:t>
      </w:r>
      <w:r>
        <w:rPr>
          <w:rFonts w:ascii="Times New Roman;Times;Serif" w:hAnsi="Times New Roman;Times;Serif"/>
          <w:b w:val="false"/>
          <w:i/>
          <w:caps w:val="false"/>
          <w:smallCaps w:val="false"/>
          <w:sz w:val="20"/>
        </w:rPr>
        <w:t>liquidation volontaire ou judiciaire</w:t>
      </w:r>
      <w:r>
        <w:rPr>
          <w:rFonts w:ascii="Times New Roman;Times;Serif" w:hAnsi="Times New Roman;Times;Serif"/>
          <w:b w:val="false"/>
          <w:i w:val="false"/>
          <w:caps w:val="false"/>
          <w:smallCaps w:val="false"/>
          <w:sz w:val="20"/>
        </w:rPr>
        <w:t>), out-of-court mutual agreement (</w:t>
      </w:r>
      <w:r>
        <w:rPr>
          <w:rFonts w:ascii="Times New Roman;Times;Serif" w:hAnsi="Times New Roman;Times;Serif"/>
          <w:b w:val="false"/>
          <w:i/>
          <w:caps w:val="false"/>
          <w:smallCaps w:val="false"/>
          <w:sz w:val="20"/>
        </w:rPr>
        <w:t>réorganisation extra judiciaire par accord amiable</w:t>
      </w:r>
      <w:r>
        <w:rPr>
          <w:rFonts w:ascii="Times New Roman;Times;Serif" w:hAnsi="Times New Roman;Times;Serif"/>
          <w:b w:val="false"/>
          <w:i w:val="false"/>
          <w:caps w:val="false"/>
          <w:smallCaps w:val="false"/>
          <w:sz w:val="20"/>
        </w:rPr>
        <w:t>), judicial reorganisation in the form of a stay to enter into a mutual agreement (</w:t>
      </w:r>
      <w:r>
        <w:rPr>
          <w:rFonts w:ascii="Times New Roman;Times;Serif" w:hAnsi="Times New Roman;Times;Serif"/>
          <w:b w:val="false"/>
          <w:i/>
          <w:caps w:val="false"/>
          <w:smallCaps w:val="false"/>
          <w:sz w:val="20"/>
        </w:rPr>
        <w:t>sursis en vue de la conclusion d’un accord amiable</w:t>
      </w:r>
      <w:r>
        <w:rPr>
          <w:rFonts w:ascii="Times New Roman;Times;Serif" w:hAnsi="Times New Roman;Times;Serif"/>
          <w:b w:val="false"/>
          <w:i w:val="false"/>
          <w:caps w:val="false"/>
          <w:smallCaps w:val="false"/>
          <w:sz w:val="20"/>
        </w:rPr>
        <w:t>), judicial reorganisation by collective agreement (</w:t>
      </w:r>
      <w:r>
        <w:rPr>
          <w:rFonts w:ascii="Times New Roman;Times;Serif" w:hAnsi="Times New Roman;Times;Serif"/>
          <w:b w:val="false"/>
          <w:i/>
          <w:caps w:val="false"/>
          <w:smallCaps w:val="false"/>
          <w:sz w:val="20"/>
        </w:rPr>
        <w:t>réorganisation judiciaire par accord collectif</w:t>
      </w:r>
      <w:r>
        <w:rPr>
          <w:rFonts w:ascii="Times New Roman;Times;Serif" w:hAnsi="Times New Roman;Times;Serif"/>
          <w:b w:val="false"/>
          <w:i w:val="false"/>
          <w:caps w:val="false"/>
          <w:smallCaps w:val="false"/>
          <w:sz w:val="20"/>
        </w:rPr>
        <w:t>), judicial reorganisation by transfer of assets or activities (</w:t>
      </w:r>
      <w:r>
        <w:rPr>
          <w:rFonts w:ascii="Times New Roman;Times;Serif" w:hAnsi="Times New Roman;Times;Serif"/>
          <w:b w:val="false"/>
          <w:i/>
          <w:caps w:val="false"/>
          <w:smallCaps w:val="false"/>
          <w:sz w:val="20"/>
        </w:rPr>
        <w:t>réorganisation judiciaire par transfert sous autorité de justice</w:t>
      </w:r>
      <w:r>
        <w:rPr>
          <w:rFonts w:ascii="Times New Roman;Times;Serif" w:hAnsi="Times New Roman;Times;Serif"/>
          <w:b w:val="false"/>
          <w:i w:val="false"/>
          <w:caps w:val="false"/>
          <w:smallCaps w:val="false"/>
          <w:sz w:val="20"/>
        </w:rPr>
        <w:t>), conciliation (</w:t>
      </w:r>
      <w:r>
        <w:rPr>
          <w:rFonts w:ascii="Times New Roman;Times;Serif" w:hAnsi="Times New Roman;Times;Serif"/>
          <w:b w:val="false"/>
          <w:i/>
          <w:caps w:val="false"/>
          <w:smallCaps w:val="false"/>
          <w:sz w:val="20"/>
        </w:rPr>
        <w:t>conciliation</w:t>
      </w:r>
      <w:r>
        <w:rPr>
          <w:rFonts w:ascii="Times New Roman;Times;Serif" w:hAnsi="Times New Roman;Times;Serif"/>
          <w:b w:val="false"/>
          <w:i w:val="false"/>
          <w:caps w:val="false"/>
          <w:smallCaps w:val="false"/>
          <w:sz w:val="20"/>
        </w:rPr>
        <w:t>) or protective measures (</w:t>
      </w:r>
      <w:r>
        <w:rPr>
          <w:rFonts w:ascii="Times New Roman;Times;Serif" w:hAnsi="Times New Roman;Times;Serif"/>
          <w:b w:val="false"/>
          <w:i/>
          <w:caps w:val="false"/>
          <w:smallCaps w:val="false"/>
          <w:sz w:val="20"/>
        </w:rPr>
        <w:t>mesures en vue de préserver les entreprises</w:t>
      </w:r>
      <w:r>
        <w:rPr>
          <w:rFonts w:ascii="Times New Roman;Times;Serif" w:hAnsi="Times New Roman;Times;Serif"/>
          <w:b w:val="false"/>
          <w:i w:val="false"/>
          <w:caps w:val="false"/>
          <w:smallCaps w:val="false"/>
          <w:sz w:val="20"/>
        </w:rPr>
        <w:t>), reprieve from payment (</w:t>
      </w:r>
      <w:r>
        <w:rPr>
          <w:rFonts w:ascii="Times New Roman;Times;Serif" w:hAnsi="Times New Roman;Times;Serif"/>
          <w:b w:val="false"/>
          <w:i/>
          <w:caps w:val="false"/>
          <w:smallCaps w:val="false"/>
          <w:sz w:val="20"/>
        </w:rPr>
        <w:t>sursis de paiement</w:t>
      </w:r>
      <w:r>
        <w:rPr>
          <w:rFonts w:ascii="Times New Roman;Times;Serif" w:hAnsi="Times New Roman;Times;Serif"/>
          <w:b w:val="false"/>
          <w:i w:val="false"/>
          <w:caps w:val="false"/>
          <w:smallCaps w:val="false"/>
          <w:sz w:val="20"/>
        </w:rPr>
        <w:t xml:space="preserve">), general settlement with creditors, reorganization or similar laws affecting the rights of creditors generally and no application has been made or is to be made by its directors or, as far as it is aware, by any other person for the appointment of a </w:t>
      </w:r>
      <w:r>
        <w:rPr>
          <w:rFonts w:ascii="Times New Roman;Times;Serif" w:hAnsi="Times New Roman;Times;Serif"/>
          <w:b w:val="false"/>
          <w:i/>
          <w:caps w:val="false"/>
          <w:smallCaps w:val="false"/>
          <w:sz w:val="20"/>
        </w:rPr>
        <w:t>mandataire judiciaire, conciliateur, juge-commissaire, liquidateur, curateur</w:t>
      </w:r>
      <w:r>
        <w:rPr>
          <w:rFonts w:ascii="Times New Roman;Times;Serif" w:hAnsi="Times New Roman;Times;Serif"/>
          <w:b w:val="false"/>
          <w:i w:val="false"/>
          <w:caps w:val="false"/>
          <w:smallCaps w:val="false"/>
          <w:sz w:val="20"/>
        </w:rPr>
        <w:t xml:space="preserve"> or similar officer pursuant to any voluntary or judicial insolvency, winding-up, liquidation or similar proceedings;</w:t>
      </w:r>
    </w:p>
    <w:p>
      <w:pPr>
        <w:pStyle w:val="TextBody"/>
        <w:bidi w:val="0"/>
        <w:spacing w:before="0" w:after="0"/>
        <w:ind w:left="0" w:right="0" w:firstLine="1530"/>
        <w:jc w:val="left"/>
        <w:rPr>
          <w:caps w:val="false"/>
          <w:smallCaps w:val="false"/>
        </w:rPr>
      </w:pPr>
      <w:r>
        <w:rPr>
          <w:caps w:val="false"/>
          <w:smallCaps w:val="false"/>
        </w:rPr>
        <w:t> </w:t>
      </w:r>
    </w:p>
    <w:p>
      <w:pPr>
        <w:pStyle w:val="TextBody"/>
        <w:bidi w:val="0"/>
        <w:spacing w:before="0" w:after="0"/>
        <w:ind w:left="0" w:right="0" w:firstLine="153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w:t>
        <w:tab/>
        <w:t>certifying that the Company complies with all requirements of the Luxembourg legislation and regulations on the domiciliation of companies, and in particular with the Luxembourg Act dated 31 May 1999 on the domiciliation of companies, as amended from time to time; and</w:t>
      </w:r>
    </w:p>
    <w:p>
      <w:pPr>
        <w:pStyle w:val="TextBody"/>
        <w:bidi w:val="0"/>
        <w:spacing w:before="0" w:after="0"/>
        <w:ind w:left="0" w:right="0" w:firstLine="1530"/>
        <w:jc w:val="left"/>
        <w:rPr>
          <w:caps w:val="false"/>
          <w:smallCaps w:val="false"/>
        </w:rPr>
      </w:pPr>
      <w:r>
        <w:rPr>
          <w:caps w:val="false"/>
          <w:smallCaps w:val="false"/>
        </w:rPr>
        <w:t> </w:t>
      </w:r>
    </w:p>
    <w:p>
      <w:pPr>
        <w:pStyle w:val="TextBody"/>
        <w:bidi w:val="0"/>
        <w:spacing w:before="0" w:after="0"/>
        <w:ind w:left="0" w:right="0" w:firstLine="153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w:t>
        <w:tab/>
        <w:t>containing any other certification that the Underwriters shall reasonably request.</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29</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w:t>
        <w:tab/>
      </w:r>
      <w:r>
        <w:rPr>
          <w:rFonts w:ascii="Times New Roman;Times;Serif" w:hAnsi="Times New Roman;Times;Serif"/>
          <w:b/>
          <w:i/>
          <w:caps w:val="false"/>
          <w:smallCaps w:val="false"/>
          <w:sz w:val="20"/>
        </w:rPr>
        <w:t>Additional Documents</w:t>
      </w:r>
      <w:r>
        <w:rPr>
          <w:rFonts w:ascii="Times New Roman;Times;Serif" w:hAnsi="Times New Roman;Times;Serif"/>
          <w:b w:val="false"/>
          <w:i w:val="false"/>
          <w:caps w:val="false"/>
          <w:smallCaps w:val="false"/>
          <w:sz w:val="20"/>
        </w:rPr>
        <w:t>. On or before each of the First Closing Date and each applicable Option Closing Date, the Representatives and counsel for the Underwriters shall have received such information, documents and opinions as they may reasonably request for the purposes of enabling them to pass upon the issuance of the Offered Shares as contemplated herein, or in order to evidence the accuracy of any of the representations and warranties, or the satisfaction of any of the conditions or agreements, herein contained; and all proceedings taken by the Company in connection with the issuance of the Offered Shares as contemplated herein and in connection with the other transactions contemplated by this Agreement shall be satisfactory in form and substance to the Representatives and counsel for the Underwriters.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condition specified in this ‎Section 6 is not satisfied when and as required to be satisfied, this Agreement may be terminated by the Representatives by notice from BofA to the Company at any time on or prior to the First Closing Date and, with respect to the Optional Shares, at any time on or prior to the applicable Option Closing Date, which termination shall be without liability on the part of any party to any other party, except that ‎Section 4, ‎Section 7, ‎Section 9 and ‎Section 10 shall at all times be effective and shall survive such termination.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7.</w:t>
        <w:tab/>
        <w:t>Reimbursement of Underwriters’ Expenses</w:t>
      </w:r>
      <w:r>
        <w:rPr>
          <w:rFonts w:ascii="Times New Roman;Times;Serif" w:hAnsi="Times New Roman;Times;Serif"/>
          <w:b w:val="false"/>
          <w:i w:val="false"/>
          <w:caps w:val="false"/>
          <w:smallCaps w:val="false"/>
          <w:sz w:val="20"/>
        </w:rPr>
        <w:t xml:space="preserve">. If this Agreement is terminated by the Representatives pursuant to ‎Section 6, ‎Section 11 or ‎Section 12 if the sale to the Underwriters of the Offered Shares on the First Closing Date is not consummated because of any refusal, inability or failure on the part of the Company to perform any agreement herein or to comply with any provision hereof, the Company agrees to reimburse the Representatives and the other Underwriters (or such Underwriters as have terminated this Agreement with respect to themselves), severally, upon demand for all out-of-pocket expenses that shall have been reasonably incurred by the Representatives and the Underwriters in connection with the proposed purchase and the offering and sale of the Offered Shares, including, but not limited to, fees and disbursements of counsel, printing expenses, travel expenses, postage, facsimile and telephone charges; </w:t>
      </w:r>
      <w:r>
        <w:rPr>
          <w:rFonts w:ascii="Times New Roman;Times;Serif" w:hAnsi="Times New Roman;Times;Serif"/>
          <w:b w:val="false"/>
          <w:i/>
          <w:caps w:val="false"/>
          <w:smallCaps w:val="false"/>
          <w:sz w:val="20"/>
        </w:rPr>
        <w:t xml:space="preserve">provided, however, </w:t>
      </w:r>
      <w:r>
        <w:rPr>
          <w:rFonts w:ascii="Times New Roman;Times;Serif" w:hAnsi="Times New Roman;Times;Serif"/>
          <w:b w:val="false"/>
          <w:i w:val="false"/>
          <w:caps w:val="false"/>
          <w:smallCaps w:val="false"/>
          <w:sz w:val="20"/>
        </w:rPr>
        <w:t>that, in the event any such termination is effected after the First Closing Date but prior to any Option Closing Date with respect to the subscription of any Optional Shares, the Company shall reimburse the Underwriters only for all such out-of-pocket and reasonably incurred expenses incurred after the First Closing Date in connection with the proposed subscription of any such Optional Shares. For the avoidance of doubt, it is understood that the Company will not pay or reimburse any costs, fees or expenses incurred by any Underwriter that defaults on its obligations to subscribe any Offered Securities.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8.</w:t>
        <w:tab/>
        <w:t>Effectiveness of this Agreement</w:t>
      </w:r>
      <w:r>
        <w:rPr>
          <w:rFonts w:ascii="Times New Roman;Times;Serif" w:hAnsi="Times New Roman;Times;Serif"/>
          <w:b w:val="false"/>
          <w:i w:val="false"/>
          <w:caps w:val="false"/>
          <w:smallCaps w:val="false"/>
          <w:sz w:val="20"/>
        </w:rPr>
        <w:t>. This Agreement shall become effective upon the execution and delivery hereof by the parties hereto.</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9.</w:t>
        <w:tab/>
        <w:t>Indemnification</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w:t>
        <w:tab/>
      </w:r>
      <w:r>
        <w:rPr>
          <w:rFonts w:ascii="Times New Roman;Times;Serif" w:hAnsi="Times New Roman;Times;Serif"/>
          <w:b/>
          <w:i/>
          <w:caps w:val="false"/>
          <w:smallCaps w:val="false"/>
          <w:sz w:val="20"/>
        </w:rPr>
        <w:t>Indemnification of the Underwriters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Company agrees to indemnify and hold harmless each Underwriter, its affiliates, directors, officers, employees and agents, and each person, if any, who controls any Underwriter within the meaning of the Securities Act or the Exchange Act against any loss, claim, damage, liability or expense, as incurred, to which such Underwriter or such affiliate, director, officer, employee, agent or controlling person may become subject, under the Securities Act, the Exchange Act, other federal or state statutory law or regulation, or the laws or regulations of foreign jurisdictions where Offered Shares have been offered or sold or at common law or otherwise (including in settlement of any litigation, if such settlement is effected with the written consent of the Company, insofar as such loss, claim, damage, liability or expense (or actions in respect thereof as contemplated below) arises out of or is based upon (i) any untrue statement or alleged untrue statement of a material fact contained in the Registration Statement, or any amendment thereto, or the omission or alleged omission to state therein a material fact required to be stated therein or necessary to make the statements therein not misleading; or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30</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any untrue statement or alleged untrue statement of a material fact included in any preliminary prospectus, the Time of Sale Prospectus, any free writing prospectus that the Company has used, referred to or filed, or is required to file, pursuant to Rule 433(d) of the Securities Act, any Marketing Material, any Section 5(d) Written Communication or the Prospectus (or any amendment or supplement to the foregoing), or the omission or alleged omission to state therein a material fact necessary in order to make the statements, in the light of the circumstances under which they were made, not misleading; or (iii) any act or failure to act or any alleged act or failure to act by any Underwriter in connection with, or relating in any manner to, the Shares or the offering contemplated hereby, and which is included as part of or referred to in any loss, claim, damage, liability or action arising out of or based upon any matter covered by clause (i) or (ii) above; and to reimburse each Underwriter and each such affiliate, director, officer, employee, agent and controlling person for any and all expenses (including the reasonable and documented fees and disbursements of counsel) as such expenses are reasonably incurred by such Underwriter or such affiliate, director, officer, employee, agent or controlling person in connection with investigating, defending, settling, compromising or paying any such loss, claim, damage, liability, expense or action;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the foregoing indemnity agreement shall not apply to any loss, claim, damage, liability or expense to the extent, but only to the extent, arising out of or based upon any untrue statement or alleged untrue statement or omission or alleged omission made in reliance upon and in conformity with information relating to any Underwriter furnished to the Company by the Representatives in writing expressly for use in the Registration Statement, any preliminary prospectus, the Time of Sale Prospectus, any Marketing Material, any such free writing prospectus, any Section 5(d) Written Communication or the Prospectus (or any amendment or supplement thereto), it being understood and agreed that the only such information consists of the information described in ‎Section 9(b) below. The indemnity agreement set forth in this ‎Section 9(a) shall be in addition to any liabilities that the Company may otherwise have.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w:t>
        <w:tab/>
      </w:r>
      <w:r>
        <w:rPr>
          <w:rFonts w:ascii="Times New Roman;Times;Serif" w:hAnsi="Times New Roman;Times;Serif"/>
          <w:b/>
          <w:i/>
          <w:caps w:val="false"/>
          <w:smallCaps w:val="false"/>
          <w:sz w:val="20"/>
        </w:rPr>
        <w:t>Indemnification of the Company, its Directors and Officers</w:t>
      </w:r>
      <w:r>
        <w:rPr>
          <w:rFonts w:ascii="Times New Roman;Times;Serif" w:hAnsi="Times New Roman;Times;Serif"/>
          <w:b w:val="false"/>
          <w:i w:val="false"/>
          <w:caps w:val="false"/>
          <w:smallCaps w:val="false"/>
          <w:sz w:val="20"/>
        </w:rPr>
        <w:t>. Each Underwriter agrees, severally and not jointly, to indemnify and hold harmless the Company, each of its directors, each of its officers who signed the Registration Statement and each person, if any, who controls the Company within the meaning of the Securities Act or the Exchange Act, against any loss, claim, damage, liability or expense, as incurred, to which the Company, or any such director, officer or controlling person may become subject, under the Securities Act, the Exchange Act, or other federal or state statutory law or regulation, or at common law or otherwise (including in settlement of any litigation, if such settlement is effected with the written consent of such Underwriter), insofar as such loss, claim, damage, liability or expense (or actions in respect thereof as contemplated below) arises out of or is based upon (i) any untrue statement or alleged untrue statement of a material fact contained in the Registration Statement, or any amendment thereto, or any omission or alleged omission to state therein a material fact required to be stated therein or necessary to make the statements therein not misleading or (ii) any untrue statement or alleged untrue statement of a material fact included in any preliminary prospectus, the Time of Sale Prospectus, any free writing prospectus that the Company has used, referred to or filed, or is required to file, pursuant to Rule 433 of the Securities, any Section 5(d) Written Communication or the Prospectus (or any such amendment or supplement) or the omission or alleged omission to state therein a material fact necessary in order to make the statements, in the light of the circumstances under which they were made, not misleading, in each case to the extent, but only to the extent, that such untrue statement or alleged untrue statement or omission or alleged omission was made in the Registration Statement, such preliminary prospectus, the Time of Sale Prospectus, such free writing prospectus, such Section 5(d) Written Communication or the Prospectus (or any such amendment or supplement), in reliance upon and in conformity with information relating to such Underwriter furnished to the Company by the Representatives in writing expressly for use therein; and to reimburse the Company, or any such director, officer or controlling person for any and all expenses (including the fees and disbursements of counsel) as such expenses are incurred by the Company, or any such director, officer or controlling person in connection with investigating, defending, settling, compromising or paying any such loss, claim, damage, liability, expense or action. The Company hereby acknowledges that the only information that the</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31</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Representatives have furnished to the Company expressly for use in the Registration Statement, any preliminary prospectus, the Time of Sale Prospectus, any free writing prospectus that the Company has filed, or is required to file, pursuant to Rule 433(d) of the Securities Act, any Section 5(d) Written Communication or the Prospectus (or any amendment or supplement to the foregoing) are the statements set forth in the first sentence of the fourth paragraph; the fifth paragraph; the first two sentences of the first paragraph under the section titled “Commissions and Expenses”; the first sentence of the first paragraph, the third sentence of the second paragraph and the first sentence of the sixth paragraph under the section entitled “Stabilization”; and the first and fourth sentences under the section entitled “Electronic Distribution” each under the caption “Underwriting” in the Preliminary Prospectus Supplement and the Final Prospectus Supplement. The indemnity agreement set forth in this ‎Section 9(b) shall be in addition to any liabilities that each Underwriter may otherwise have.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w:t>
        <w:tab/>
      </w:r>
      <w:r>
        <w:rPr>
          <w:rFonts w:ascii="Times New Roman;Times;Serif" w:hAnsi="Times New Roman;Times;Serif"/>
          <w:b/>
          <w:i/>
          <w:caps w:val="false"/>
          <w:smallCaps w:val="false"/>
          <w:sz w:val="20"/>
        </w:rPr>
        <w:t>Notifications and Other Indemnification Procedures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Promptly after receipt by an indemnified party under this ‎Section 9 of notice of the commencement of any action, such indemnified party will, if a claim in respect thereof is to be made against an indemnifying party under this ‎Section 9, notify the indemnifying party in writing of the commencement thereof, but the omission to so notify the indemnifying party will not relieve the indemnifying party from any liability which it may have to any indemnified party to the extent the indemnifying party is not materially prejudiced as a proximate result of such failure and shall not in any event relieve the indemnifying party from any liability that it may have otherwise than on account of this indemnity agreement. In case any such action is brought against any indemnified party and such indemnified party seeks or intends to seek indemnity from an indemnifying party, the indemnifying party will be entitled to participate in, and, to the extent that it shall elect, jointly with all other indemnifying parties similarly notified, by written notice delivered to the indemnified party promptly after receiving the aforesaid notice from such indemnified party, to assume the defense thereof with counsel reasonably satisfactory to such indemnified party;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if the defendants in any such action include both the indemnified party and the indemnifying party and the indemnified party shall have reasonably concluded that a conflict may arise between the positions of the indemnifying party and the indemnified party in conducting the defense of any such action or that there may be legal defenses available to it and/or other indemnified parties which are different from or additional to those available to the indemnifying party, the indemnified party or parties shall have the right to select separate counsel to assume such legal defenses and to otherwise participate in the defense of such action on behalf of such indemnified party or parties. Upon receipt of notice from the indemnifying party to such indemnified party of such indemnifying party’s election to so assume the defense of such action and approval by the indemnified party of counsel, the indemnifying party will not be liable to such indemnified party under this ‎Section 9 for any legal or other expenses subsequently incurred by such indemnified party in connection with the defense thereof unless (i) the indemnified party shall have employed separate counsel in accordance with the proviso to the preceding sentence (it being understood, however, that the indemnifying party shall not be liable for the fees and expenses of more than one separate counsel (together with local counsel), representing the indemnified parties who are parties to such action), which counsel (together with any local counsel) for the indemnified parties shall be selected by the Representatives (in the case of counsel for the indemnified parties referred to in Section 9(a) above) or by the Company (in the case of counsel for the indemnified parties referred to in ‎Section 9(b) above)) or (ii) the indemnifying party shall not have employed counsel satisfactory to the indemnified party to represent the indemnified party within a reasonable time after notice of commencement of the action or (iii) the indemnifying party has authorized in writing the employment of counsel for the indemnified party at the expense of the indemnifying party, in each of which cases the fees and expenses of counsel shall be at the expense of the indemnifying party and shall be paid as they are incurred.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w:t>
        <w:tab/>
      </w:r>
      <w:r>
        <w:rPr>
          <w:rFonts w:ascii="Times New Roman;Times;Serif" w:hAnsi="Times New Roman;Times;Serif"/>
          <w:b/>
          <w:i/>
          <w:caps w:val="false"/>
          <w:smallCaps w:val="false"/>
          <w:sz w:val="20"/>
        </w:rPr>
        <w:t>Settlements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indemnifying party under this ‎Section 9 shall not be liable for any settlement of any proceeding effected without its written consent, but if settled with such consent or if there be a final judgment for the plaintiff, the indemnifying party agrees to indemnify the indemnified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32</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party against any loss, claim, damage, liability or expense by reason of such settlement or judgment. Notwithstanding the foregoing sentence, if at any time an indemnified party shall have requested an indemnifying party to reimburse the indemnified party for fees and expenses of counsel as contemplated by ‎Section 9(c) hereof, the indemnifying party shall be liable for any settlement of any proceeding effected without its written consent if (i) such settlement is entered into more than 30 days after receipt by such indemnifying party of the aforesaid request and (ii) such indemnifying party shall not have reimbursed the indemnified party in accordance with such request prior to the date of such settlement. No indemnifying party shall, without the prior written consent of the indemnified party, effect any settlement, compromise or consent to the entry of judgment in any pending or threatened action, suit or proceeding in respect of which any indemnified party is or could have been a party and indemnity was or could have been sought hereunder by such indemnified party, unless such settlement, compromise or consent includes an unconditional release of such indemnified party from all liability on claims that are the subject matter of such action, suit or proceeding and does not include an admission of fault or culpability or a failure to act by or on behalf of such indemnified party.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10.</w:t>
        <w:tab/>
        <w:t>Contribution</w:t>
      </w:r>
      <w:r>
        <w:rPr>
          <w:rFonts w:ascii="Times New Roman;Times;Serif" w:hAnsi="Times New Roman;Times;Serif"/>
          <w:b w:val="false"/>
          <w:i w:val="false"/>
          <w:caps w:val="false"/>
          <w:smallCaps w:val="false"/>
          <w:sz w:val="20"/>
        </w:rPr>
        <w:t>. If the indemnification provided for in ‎Section 9 is for any reason held to be unavailable to or otherwise insufficient to hold harmless an indemnified party in respect of any losses, claims, damages, liabilities or expenses referred to therein, then each indemnifying party shall contribute to the aggregate amount paid or payable by such indemnified party, as incurred, as a result of any losses, claims, damages, liabilities or expenses referred to therein (i) in such proportion as is appropriate to reflect the relative benefits received by the indemnifying party, on the one hand, and the indemnified party, on the other hand, from the offering of the Offered Shares pursuant to this Agreement or (ii) if the allocation provided by clause (i) above is not permitted by applicable law, in such proportion as is appropriate to reflect not only the relative benefits referred to in clause (i) above but also the relative fault of the indemnifying party, on the one hand, and the indemnified party, on the other hand, in connection with the statements or omissions which resulted in such losses, claims, damages, liabilities or expenses, as well as any other relevant equitable considerations. The relative benefits received by the Company, on the one hand, and the Underwriters, on the other hand, in connection with the offering of the Offered Shares pursuant to this Agreement shall be deemed to be in the same respective proportions as the total proceeds from the offering of the Offered Shares pursuant to this Agreement (before deducting expenses) received by the Company, and the total underwriting discounts and commissions received by the Underwriters, in each case as set forth on the front cover page of the Prospectus, bear to the aggregate initial public offering price of the Offered Shares as set forth on such cover. The relative fault of the indemnifying party, on the one hand, and the indemnified party, on the other hand, shall be determined by reference to, among other things, whether any such untrue or alleged untrue statement of a material fact or omission or alleged omission to state a material fact relates to information supplied by the Company, on the one hand, or the Underwriters, on the other hand, and the parties’ relative intent, knowledge, access to information and opportunity to correct or prevent such statement or omission.</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amount paid or payable by a party as a result of the losses, claims, damages, liabilities and expenses referred to above shall be deemed to include, subject to the limitations set forth in ‎Section 9(c), any legal or other fees or expenses reasonably incurred by such party in connection with investigating or defending any action or claim. The provisions set forth in ‎Section 9(c) with respect to notice of commencement of any action shall apply if a claim for contribution is to be made under this ‎Section 10;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no additional notice shall be required with respect to any action for which notice has been given under ‎Section 9(c) for purposes of indemnification.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the Underwriters agree that it would not be just and equitable if contribution pursuant to this ‎Section 10 were determined by pro rata allocation (even if the Underwriters were treated as one entity for such purpose) or by any other method of allocation which does not take account of the equitable considerations referred to in this ‎Section 10.</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33</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the provisions of this ‎Section 10, no Underwriter shall be required to contribute any amount in excess of the underwriting discounts and commissions received by such Underwriter in connection with the Offered Shares underwritten by it and distributed to the public. No person guilty of fraudulent misrepresentation (within the meaning of Section 11(f) of the Securities Act) shall be entitled to contribution from any person who was not guilty of such fraudulent misrepresentation. The Underwriters’ obligations to contribute pursuant to this ‎Section 10 are several, and not joint, in proportion to their respective underwriting commitments as set forth opposite their respective names on </w:t>
      </w:r>
      <w:r>
        <w:rPr>
          <w:rFonts w:ascii="Times New Roman;Times;Serif" w:hAnsi="Times New Roman;Times;Serif"/>
          <w:b w:val="false"/>
          <w:i w:val="false"/>
          <w:caps w:val="false"/>
          <w:smallCaps w:val="false"/>
          <w:sz w:val="20"/>
          <w:u w:val="single"/>
        </w:rPr>
        <w:t>Schedule A</w:t>
      </w:r>
      <w:r>
        <w:rPr>
          <w:rFonts w:ascii="Times New Roman;Times;Serif" w:hAnsi="Times New Roman;Times;Serif"/>
          <w:b w:val="false"/>
          <w:i w:val="false"/>
          <w:caps w:val="false"/>
          <w:smallCaps w:val="false"/>
          <w:sz w:val="20"/>
        </w:rPr>
        <w:t>. For purposes of this ‎Section 10, each affiliate, director, officer, employee and agent of an Underwriter and each person, if any, who controls an Underwriter within the meaning of the Securities Act or the Exchange Act shall have the same rights to contribution as such Underwriter, and each director of the Company, each officer of the Company who signed the Registration Statement, and each person, if any, who controls the Company within the meaning of the Securities Act and the Exchange Act shall have the same rights to contribution as the Company.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11.</w:t>
        <w:tab/>
        <w:t>Default of One or More of the Several Underwriters</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If, on the First Closing Date or any Option Closing Date any one or more of the several Underwriters shall fail or refuse to subscribe Offered Shares that it or they have agreed to subscribe hereunder on such date, and the aggregate number of Offered Shares which such defaulting Underwriter or Underwriters agreed but failed or refused to subscribe does not exceed 10% of the aggregate number of the Offered Shares to be subscribed on such date, the Representatives may make arrangements satisfactory to the Company for the subscription of such Offered Shares by other persons, including any of the Underwriters, but if no such arrangements are made by such date, the other Underwriters shall be obligated, severally and not jointly, in the proportions that the number of Firm Shares set forth opposite their respective names on </w:t>
      </w:r>
      <w:r>
        <w:rPr>
          <w:rFonts w:ascii="Times New Roman;Times;Serif" w:hAnsi="Times New Roman;Times;Serif"/>
          <w:b w:val="false"/>
          <w:i w:val="false"/>
          <w:caps w:val="false"/>
          <w:smallCaps w:val="false"/>
          <w:sz w:val="20"/>
          <w:u w:val="single"/>
        </w:rPr>
        <w:t>Schedule A</w:t>
      </w:r>
      <w:r>
        <w:rPr>
          <w:rFonts w:ascii="Times New Roman;Times;Serif" w:hAnsi="Times New Roman;Times;Serif"/>
          <w:b w:val="false"/>
          <w:i w:val="false"/>
          <w:caps w:val="false"/>
          <w:smallCaps w:val="false"/>
          <w:sz w:val="20"/>
        </w:rPr>
        <w:t xml:space="preserve"> bears to the aggregate number of Firm Shares set forth opposite the names of all such non-defaulting Underwriters, or in such other proportions as may be specified by the Representatives with the consent of the non-defaulting Underwriters, to subscribe the Offered Shares which such defaulting Underwriter or Underwriters agreed but failed or refused to subscribe on such date. If, on the First Closing Date or any Option Closing Date any one or more of the Underwriters shall fail or refuse to subscribe Offered Shares and the aggregate number of Offered Shares with respect to which such default occurs exceeds 10% of the aggregate number of Offered Shares to be subscribed on such date, and arrangements satisfactory to the Representatives and the Company for the subscription of such Offered Shares are not made within 48 hours after such default, this Agreement shall terminate without liability of any party to any other party except that the provisions of ‎Section 4, ‎Section 7, ‎Section 9 and ‎Section 10 shall at all times be effective and shall survive such termination. In any such case either the Representatives or the Company shall have the right to postpone the First Closing Date or the applicable Option Closing Date, as the case may be, but in no event for longer than seven days in order that the required changes, if any, to the Registration Statement and the Prospectus or any other documents or arrangements may be effected.</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in this Agreement, the term “</w:t>
      </w:r>
      <w:r>
        <w:rPr>
          <w:rFonts w:ascii="Times New Roman;Times;Serif" w:hAnsi="Times New Roman;Times;Serif"/>
          <w:b/>
          <w:i w:val="false"/>
          <w:caps w:val="false"/>
          <w:smallCaps w:val="false"/>
          <w:sz w:val="20"/>
        </w:rPr>
        <w:t>Underwriter</w:t>
      </w:r>
      <w:r>
        <w:rPr>
          <w:rFonts w:ascii="Times New Roman;Times;Serif" w:hAnsi="Times New Roman;Times;Serif"/>
          <w:b w:val="false"/>
          <w:i w:val="false"/>
          <w:caps w:val="false"/>
          <w:smallCaps w:val="false"/>
          <w:sz w:val="20"/>
        </w:rPr>
        <w:t>” shall be deemed to include any person substituted for a defaulting Underwriter under this ‎Section 11. Any action taken under this ‎Section 11 shall not relieve any defaulting Underwriter from liability in respect of any default of such Underwriter under this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12.</w:t>
        <w:tab/>
        <w:t>Termination of this Agreement</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Prior to the subscription of the Firm Shares by the Underwriters on the First Closing Date, this Agreement may be terminated by the Representatives by notice given to the Company if at any time: (i) trading or quotation in any of the Company’s securities shall have been suspended or limited by the Commission or by the Nasdaq, or trading in securities generally on either the Nasdaq or the New York Stock Exchange shall have been suspended or limited, or minimum or maximum prices shall have been generally established on any of such stock exchanges; (ii) a general banking moratorium shall have been declared by any of federal, New York authorities or Luxembourg or European authorities; (iii) there shall have occurred any outbreak or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34</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escalation of national or international hostilities or any crisis or calamity, or any change in the United States or international financial markets, or any substantial change or development involving a prospective substantial change in United States’ or international political, financial or economic conditions, as in the judgment of the Representatives is material and adverse and makes it impracticable to market the Offered Shares in the manner and on the terms described in the Time of Sale Prospectus or the Prospectus or to enforce contracts for the sale of securities; (iv) in the judgment of the Representatives there shall have occurred any Material Adverse Change; or (v) the Company shall have sustained a loss by strike, fire, flood, earthquake, accident or other calamity of such character as in the judgment of the Representatives may interfere materially with the conduct of the business and operations of the Company regardless of whether or not such loss shall have been insured. Any termination pursuant to this ‎Section 12 shall be without liability on the part of (a) the Company to any Underwriter, except that the Company shall be obligated to reimburse the expenses of the Representatives and the Underwriters pursuant to ‎Section 4 or ‎Section 7 hereof or (b) any Underwriter to the Company;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the provisions of ‎Section 9 and ‎Section 10 shall at all times be effective and shall survive such termination.</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13.</w:t>
        <w:tab/>
        <w:t xml:space="preserve">No Advisory or Fiduciary Relationship. </w:t>
      </w:r>
      <w:r>
        <w:rPr>
          <w:rFonts w:ascii="Times New Roman;Times;Serif" w:hAnsi="Times New Roman;Times;Serif"/>
          <w:b w:val="false"/>
          <w:i w:val="false"/>
          <w:caps w:val="false"/>
          <w:smallCaps w:val="false"/>
          <w:sz w:val="20"/>
        </w:rPr>
        <w:t>The Company acknowledges and agrees that (a) the subscription and issuance of the Offered Shares pursuant to this Agreement, including the determination of the public offering price of the Offered Shares and any related discounts and commissions, is an arm’s-length commercial transaction between the Company, on the one hand, and the several Underwriters, on the other hand, (b) in connection with the offering contemplated hereby and the process leading to such transaction, each Underwriter is and has been acting solely as a principal and is not the agent or fiduciary of the Company, or its shareholders, creditors, employees or any other party, (c) no Underwriter has assumed or will assume an advisory or fiduciary responsibility in favor of the Company with respect to the offering contemplated hereby or the process leading thereto (irrespective of whether such Underwriter has advised or is currently advising the Company on other matters) and no Underwriter has any obligation to the Company with respect to the offering contemplated hereby except the obligations expressly set forth in this Agreement, (d) the Underwriters and their respective affiliates may be engaged in a broad range of transactions that involve interests that differ from those of the Company, and (e) the Underwriters have not provided any legal, accounting, regulatory or tax advice with respect to the offering contemplated hereby and the Company has consulted its own legal, accounting, regulatory and tax advisors to the extent it deemed appropriate.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14.</w:t>
        <w:tab/>
        <w:t>Representations and Indemnities to Survive Delivery</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The respective indemnities, agreements, representations, warranties and other statements of the Company, of its officers and of the several Underwriters set forth in or made pursuant to this Agreement will remain in full force and effect, regardless of any investigation made by or on behalf of any Underwriter or the Company or any of its or their partners, officers or directors or any controlling person, as the case may be, and, anything herein to the contrary notwithstanding, will survive delivery of and payment for the Offered Shares issued hereunder and any termination of this Agreement.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15.</w:t>
        <w:tab/>
        <w:t>Notices</w:t>
      </w:r>
      <w:r>
        <w:rPr>
          <w:rFonts w:ascii="Times New Roman;Times;Serif" w:hAnsi="Times New Roman;Times;Serif"/>
          <w:b w:val="false"/>
          <w:i w:val="false"/>
          <w:caps w:val="false"/>
          <w:smallCaps w:val="false"/>
          <w:sz w:val="20"/>
        </w:rPr>
        <w:t>. All communications hereunder shall be in writing and shall be mailed, hand delivered or telecopied and confirmed to the parties hereto as follows:</w:t>
      </w:r>
    </w:p>
    <w:p>
      <w:pPr>
        <w:pStyle w:val="TextBody"/>
        <w:bidi w:val="0"/>
        <w:spacing w:before="0" w:after="0"/>
        <w:ind w:left="0" w:right="0" w:firstLine="1440"/>
        <w:jc w:val="left"/>
        <w:rPr>
          <w:caps w:val="false"/>
          <w:smallCaps w:val="false"/>
        </w:rPr>
      </w:pPr>
      <w:r>
        <w:rPr>
          <w:caps w:val="false"/>
          <w:smallCaps w:val="false"/>
        </w:rPr>
        <w:t> </w:t>
      </w:r>
    </w:p>
    <w:tbl>
      <w:tblPr>
        <w:tblW w:w="6880" w:type="dxa"/>
        <w:jc w:val="left"/>
        <w:tblInd w:w="0" w:type="dxa"/>
        <w:tblLayout w:type="fixed"/>
        <w:tblCellMar>
          <w:top w:w="0" w:type="dxa"/>
          <w:left w:w="0" w:type="dxa"/>
          <w:bottom w:w="0" w:type="dxa"/>
          <w:right w:w="0" w:type="dxa"/>
        </w:tblCellMar>
      </w:tblPr>
      <w:tblGrid>
        <w:gridCol w:w="60"/>
        <w:gridCol w:w="2360"/>
        <w:gridCol w:w="60"/>
        <w:gridCol w:w="4400"/>
      </w:tblGrid>
      <w:tr>
        <w:trPr/>
        <w:tc>
          <w:tcPr>
            <w:tcW w:w="6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left"/>
              <w:rPr/>
            </w:pPr>
            <w:r>
              <w:rPr/>
              <w:t>If to the Representatives:</w:t>
            </w:r>
          </w:p>
        </w:tc>
        <w:tc>
          <w:tcPr>
            <w:tcW w:w="60" w:type="dxa"/>
            <w:tcBorders/>
            <w:vAlign w:val="center"/>
          </w:tcPr>
          <w:p>
            <w:pPr>
              <w:pStyle w:val="TableContents"/>
              <w:bidi w:val="0"/>
              <w:spacing w:before="0" w:after="283"/>
              <w:jc w:val="left"/>
              <w:rPr/>
            </w:pPr>
            <w:r>
              <w:rPr/>
              <w:t> </w:t>
            </w:r>
          </w:p>
        </w:tc>
        <w:tc>
          <w:tcPr>
            <w:tcW w:w="4400" w:type="dxa"/>
            <w:tcBorders/>
            <w:vAlign w:val="center"/>
          </w:tcPr>
          <w:p>
            <w:pPr>
              <w:pStyle w:val="TableContents"/>
              <w:bidi w:val="0"/>
              <w:spacing w:before="0" w:after="283"/>
              <w:jc w:val="left"/>
              <w:rPr/>
            </w:pPr>
            <w:r>
              <w:rPr/>
              <w:t>BofA Securities, Inc.</w:t>
              <w:br/>
              <w:t>One Bryant Park</w:t>
              <w:br/>
              <w:t>New York, New York 10036</w:t>
              <w:br/>
              <w:t>Attention: Syndicate Department</w:t>
              <w:br/>
              <w:t xml:space="preserve">Email: </w:t>
            </w:r>
            <w:r>
              <w:rPr>
                <w:color w:val="0000FF"/>
                <w:u w:val="single"/>
              </w:rPr>
              <w:t>dg.ecm_execution_services@bofa.com</w:t>
            </w:r>
          </w:p>
        </w:tc>
      </w:tr>
    </w:tbl>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35</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tbl>
      <w:tblPr>
        <w:tblW w:w="7165" w:type="dxa"/>
        <w:jc w:val="left"/>
        <w:tblInd w:w="0" w:type="dxa"/>
        <w:tblLayout w:type="fixed"/>
        <w:tblCellMar>
          <w:top w:w="0" w:type="dxa"/>
          <w:left w:w="0" w:type="dxa"/>
          <w:bottom w:w="0" w:type="dxa"/>
          <w:right w:w="0" w:type="dxa"/>
        </w:tblCellMar>
      </w:tblPr>
      <w:tblGrid>
        <w:gridCol w:w="60"/>
        <w:gridCol w:w="1805"/>
        <w:gridCol w:w="60"/>
        <w:gridCol w:w="5240"/>
      </w:tblGrid>
      <w:tr>
        <w:trPr/>
        <w:tc>
          <w:tcPr>
            <w:tcW w:w="60" w:type="dxa"/>
            <w:tcBorders/>
            <w:vAlign w:val="center"/>
          </w:tcPr>
          <w:p>
            <w:pPr>
              <w:pStyle w:val="TableContents"/>
              <w:bidi w:val="0"/>
              <w:spacing w:before="0" w:after="283"/>
              <w:jc w:val="left"/>
              <w:rPr/>
            </w:pPr>
            <w:r>
              <w:rPr/>
              <w:t> </w:t>
            </w:r>
          </w:p>
        </w:tc>
        <w:tc>
          <w:tcPr>
            <w:tcW w:w="1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240" w:type="dxa"/>
            <w:tcBorders/>
            <w:vAlign w:val="center"/>
          </w:tcPr>
          <w:p>
            <w:pPr>
              <w:pStyle w:val="TableContents"/>
              <w:bidi w:val="0"/>
              <w:spacing w:before="0" w:after="283"/>
              <w:jc w:val="left"/>
              <w:rPr/>
            </w:pPr>
            <w:r>
              <w:rPr/>
              <w:t>with a copy to:</w:t>
              <w:br/>
              <w:t xml:space="preserve">Email: </w:t>
            </w:r>
            <w:r>
              <w:rPr>
                <w:color w:val="0000FF"/>
                <w:u w:val="single"/>
              </w:rPr>
              <w:t>dg.ecm_legal@bofa.com</w:t>
            </w:r>
            <w:r>
              <w:rPr/>
              <w:br/>
              <w:t>Attention: ECM Legal</w:t>
            </w:r>
          </w:p>
        </w:tc>
      </w:tr>
      <w:tr>
        <w:trPr/>
        <w:tc>
          <w:tcPr>
            <w:tcW w:w="60" w:type="dxa"/>
            <w:tcBorders/>
            <w:vAlign w:val="center"/>
          </w:tcPr>
          <w:p>
            <w:pPr>
              <w:pStyle w:val="TableContents"/>
              <w:bidi w:val="0"/>
              <w:spacing w:before="0" w:after="283"/>
              <w:jc w:val="left"/>
              <w:rPr/>
            </w:pPr>
            <w:r>
              <w:rPr/>
              <w:t> </w:t>
            </w:r>
          </w:p>
        </w:tc>
        <w:tc>
          <w:tcPr>
            <w:tcW w:w="1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24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240" w:type="dxa"/>
            <w:tcBorders/>
            <w:vAlign w:val="center"/>
          </w:tcPr>
          <w:p>
            <w:pPr>
              <w:pStyle w:val="TableContents"/>
              <w:bidi w:val="0"/>
              <w:spacing w:before="0" w:after="283"/>
              <w:jc w:val="left"/>
              <w:rPr/>
            </w:pPr>
            <w:r>
              <w:rPr/>
              <w:t>Jefferies LLC</w:t>
              <w:br/>
              <w:t>520 Madison Avenue</w:t>
              <w:br/>
              <w:t>New York, New York 10022</w:t>
              <w:br/>
              <w:t>Facsimile: (646) 619-4437</w:t>
              <w:br/>
              <w:t>Attention: General Counsel</w:t>
            </w:r>
          </w:p>
        </w:tc>
      </w:tr>
      <w:tr>
        <w:trPr/>
        <w:tc>
          <w:tcPr>
            <w:tcW w:w="60" w:type="dxa"/>
            <w:tcBorders/>
            <w:vAlign w:val="center"/>
          </w:tcPr>
          <w:p>
            <w:pPr>
              <w:pStyle w:val="TableContents"/>
              <w:bidi w:val="0"/>
              <w:spacing w:before="0" w:after="283"/>
              <w:jc w:val="left"/>
              <w:rPr/>
            </w:pPr>
            <w:r>
              <w:rPr/>
              <w:t> </w:t>
            </w:r>
          </w:p>
        </w:tc>
        <w:tc>
          <w:tcPr>
            <w:tcW w:w="1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24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240" w:type="dxa"/>
            <w:tcBorders/>
            <w:vAlign w:val="center"/>
          </w:tcPr>
          <w:p>
            <w:pPr>
              <w:pStyle w:val="TableContents"/>
              <w:bidi w:val="0"/>
              <w:spacing w:before="0" w:after="283"/>
              <w:jc w:val="left"/>
              <w:rPr/>
            </w:pPr>
            <w:r>
              <w:rPr/>
              <w:t>Evercore Group L.L.C.</w:t>
              <w:br/>
              <w:t>55 East 52</w:t>
            </w:r>
            <w:r>
              <w:rPr>
                <w:position w:val="8"/>
                <w:sz w:val="19"/>
              </w:rPr>
              <w:t>nd</w:t>
            </w:r>
            <w:r>
              <w:rPr/>
              <w:t xml:space="preserve"> Street, 35</w:t>
            </w:r>
            <w:r>
              <w:rPr>
                <w:position w:val="8"/>
                <w:sz w:val="19"/>
              </w:rPr>
              <w:t>th</w:t>
            </w:r>
            <w:r>
              <w:rPr/>
              <w:t xml:space="preserve"> Floor</w:t>
              <w:br/>
              <w:t>New York, New York 10055</w:t>
              <w:br/>
              <w:t>Attention: ECM General Counsel</w:t>
            </w:r>
          </w:p>
        </w:tc>
      </w:tr>
      <w:tr>
        <w:trPr/>
        <w:tc>
          <w:tcPr>
            <w:tcW w:w="60" w:type="dxa"/>
            <w:tcBorders/>
            <w:vAlign w:val="center"/>
          </w:tcPr>
          <w:p>
            <w:pPr>
              <w:pStyle w:val="TableContents"/>
              <w:bidi w:val="0"/>
              <w:spacing w:before="0" w:after="283"/>
              <w:jc w:val="left"/>
              <w:rPr/>
            </w:pPr>
            <w:r>
              <w:rPr/>
              <w:t> </w:t>
            </w:r>
          </w:p>
        </w:tc>
        <w:tc>
          <w:tcPr>
            <w:tcW w:w="1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24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805" w:type="dxa"/>
            <w:tcBorders/>
            <w:vAlign w:val="center"/>
          </w:tcPr>
          <w:p>
            <w:pPr>
              <w:pStyle w:val="TableContents"/>
              <w:bidi w:val="0"/>
              <w:spacing w:before="0" w:after="283"/>
              <w:jc w:val="left"/>
              <w:rPr/>
            </w:pPr>
            <w:r>
              <w:rPr/>
              <w:t> </w:t>
            </w:r>
            <w:r>
              <w:rPr/>
              <w:t>with a copy to:</w:t>
            </w:r>
          </w:p>
        </w:tc>
        <w:tc>
          <w:tcPr>
            <w:tcW w:w="60" w:type="dxa"/>
            <w:tcBorders/>
            <w:vAlign w:val="center"/>
          </w:tcPr>
          <w:p>
            <w:pPr>
              <w:pStyle w:val="TableContents"/>
              <w:bidi w:val="0"/>
              <w:spacing w:before="0" w:after="283"/>
              <w:jc w:val="left"/>
              <w:rPr/>
            </w:pPr>
            <w:r>
              <w:rPr/>
              <w:t> </w:t>
            </w:r>
          </w:p>
        </w:tc>
        <w:tc>
          <w:tcPr>
            <w:tcW w:w="5240" w:type="dxa"/>
            <w:tcBorders/>
            <w:vAlign w:val="center"/>
          </w:tcPr>
          <w:p>
            <w:pPr>
              <w:pStyle w:val="TableContents"/>
              <w:bidi w:val="0"/>
              <w:spacing w:before="0" w:after="283"/>
              <w:jc w:val="left"/>
              <w:rPr/>
            </w:pPr>
            <w:r>
              <w:rPr/>
              <w:t>Paul Hastings LLP</w:t>
              <w:br/>
              <w:t>MetLife Building, 200 Park Avenue</w:t>
              <w:br/>
              <w:t>New York, New York 10166</w:t>
              <w:br/>
              <w:t>Attention: Siavosh Salimi and William A. Magioncalda</w:t>
            </w:r>
          </w:p>
        </w:tc>
      </w:tr>
      <w:tr>
        <w:trPr/>
        <w:tc>
          <w:tcPr>
            <w:tcW w:w="60" w:type="dxa"/>
            <w:tcBorders/>
            <w:vAlign w:val="center"/>
          </w:tcPr>
          <w:p>
            <w:pPr>
              <w:pStyle w:val="TableContents"/>
              <w:bidi w:val="0"/>
              <w:spacing w:before="0" w:after="283"/>
              <w:jc w:val="left"/>
              <w:rPr/>
            </w:pPr>
            <w:r>
              <w:rPr/>
              <w:t> </w:t>
            </w:r>
          </w:p>
        </w:tc>
        <w:tc>
          <w:tcPr>
            <w:tcW w:w="1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24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805" w:type="dxa"/>
            <w:tcBorders/>
            <w:vAlign w:val="center"/>
          </w:tcPr>
          <w:p>
            <w:pPr>
              <w:pStyle w:val="TableContents"/>
              <w:bidi w:val="0"/>
              <w:spacing w:before="0" w:after="283"/>
              <w:jc w:val="left"/>
              <w:rPr/>
            </w:pPr>
            <w:r>
              <w:rPr/>
              <w:t>If to the Company:</w:t>
            </w:r>
          </w:p>
        </w:tc>
        <w:tc>
          <w:tcPr>
            <w:tcW w:w="60" w:type="dxa"/>
            <w:tcBorders/>
            <w:vAlign w:val="center"/>
          </w:tcPr>
          <w:p>
            <w:pPr>
              <w:pStyle w:val="TableContents"/>
              <w:bidi w:val="0"/>
              <w:spacing w:before="0" w:after="283"/>
              <w:jc w:val="left"/>
              <w:rPr/>
            </w:pPr>
            <w:r>
              <w:rPr/>
              <w:t> </w:t>
            </w:r>
          </w:p>
        </w:tc>
        <w:tc>
          <w:tcPr>
            <w:tcW w:w="5240" w:type="dxa"/>
            <w:tcBorders/>
            <w:vAlign w:val="center"/>
          </w:tcPr>
          <w:p>
            <w:pPr>
              <w:pStyle w:val="TableContents"/>
              <w:bidi w:val="0"/>
              <w:spacing w:before="0" w:after="283"/>
              <w:jc w:val="left"/>
              <w:rPr/>
            </w:pPr>
            <w:r>
              <w:rPr/>
              <w:t>Alvotech</w:t>
              <w:br/>
              <w:t>9, Rue de Bitbourg</w:t>
              <w:br/>
              <w:t>L-1273 Luxembourg</w:t>
              <w:br/>
              <w:t>Grand Duchy of Luxembourg</w:t>
              <w:br/>
              <w:t>Attention: Chief Financial Officer</w:t>
            </w:r>
          </w:p>
        </w:tc>
      </w:tr>
      <w:tr>
        <w:trPr/>
        <w:tc>
          <w:tcPr>
            <w:tcW w:w="60" w:type="dxa"/>
            <w:tcBorders/>
            <w:vAlign w:val="center"/>
          </w:tcPr>
          <w:p>
            <w:pPr>
              <w:pStyle w:val="TableContents"/>
              <w:bidi w:val="0"/>
              <w:spacing w:before="0" w:after="283"/>
              <w:jc w:val="left"/>
              <w:rPr/>
            </w:pPr>
            <w:r>
              <w:rPr/>
              <w:t> </w:t>
            </w:r>
          </w:p>
        </w:tc>
        <w:tc>
          <w:tcPr>
            <w:tcW w:w="1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24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805" w:type="dxa"/>
            <w:tcBorders/>
            <w:vAlign w:val="center"/>
          </w:tcPr>
          <w:p>
            <w:pPr>
              <w:pStyle w:val="TableContents"/>
              <w:bidi w:val="0"/>
              <w:spacing w:before="0" w:after="283"/>
              <w:jc w:val="left"/>
              <w:rPr/>
            </w:pPr>
            <w:r>
              <w:rPr/>
              <w:t>with a copy to:</w:t>
            </w:r>
          </w:p>
        </w:tc>
        <w:tc>
          <w:tcPr>
            <w:tcW w:w="60" w:type="dxa"/>
            <w:tcBorders/>
            <w:vAlign w:val="center"/>
          </w:tcPr>
          <w:p>
            <w:pPr>
              <w:pStyle w:val="TableContents"/>
              <w:bidi w:val="0"/>
              <w:spacing w:before="0" w:after="283"/>
              <w:jc w:val="left"/>
              <w:rPr/>
            </w:pPr>
            <w:r>
              <w:rPr/>
              <w:t> </w:t>
            </w:r>
          </w:p>
        </w:tc>
        <w:tc>
          <w:tcPr>
            <w:tcW w:w="5240" w:type="dxa"/>
            <w:tcBorders/>
            <w:vAlign w:val="center"/>
          </w:tcPr>
          <w:p>
            <w:pPr>
              <w:pStyle w:val="TableContents"/>
              <w:bidi w:val="0"/>
              <w:spacing w:before="0" w:after="283"/>
              <w:jc w:val="left"/>
              <w:rPr/>
            </w:pPr>
            <w:r>
              <w:rPr/>
              <w:t>Cooley LLP</w:t>
              <w:br/>
              <w:t>55 Hudson Yards</w:t>
              <w:br/>
              <w:t>New York, New York 10001</w:t>
              <w:br/>
              <w:t>Attention: Courtney Thorne and Divakar Gupta</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party hereto may change the address for receipt of communications by giving written notice to the others.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16.</w:t>
        <w:tab/>
        <w:t>Successors</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This Agreement will inure to the benefit of and be binding upon the parties hereto, including any substitute Underwriters pursuant to ‎Section 11 hereof, and to the benefit of the affiliates, directors, officers, employees, agents and controlling persons referred to in ‎Section 9 and ‎Section 10, and in each case their respective successors, and no other person will have any right or obligation hereunder. The term “</w:t>
      </w:r>
      <w:r>
        <w:rPr>
          <w:rFonts w:ascii="Times New Roman;Times;Serif" w:hAnsi="Times New Roman;Times;Serif"/>
          <w:b/>
          <w:i w:val="false"/>
          <w:caps w:val="false"/>
          <w:smallCaps w:val="false"/>
          <w:sz w:val="20"/>
        </w:rPr>
        <w:t>successors</w:t>
      </w:r>
      <w:r>
        <w:rPr>
          <w:rFonts w:ascii="Times New Roman;Times;Serif" w:hAnsi="Times New Roman;Times;Serif"/>
          <w:b w:val="false"/>
          <w:i w:val="false"/>
          <w:caps w:val="false"/>
          <w:smallCaps w:val="false"/>
          <w:sz w:val="20"/>
        </w:rPr>
        <w:t>” shall not include any purchaser of the Offered Shares as such from any of the Underwriters merely by reason of such purchase.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17.</w:t>
        <w:tab/>
        <w:t>Partial Unenforceability</w:t>
      </w:r>
      <w:r>
        <w:rPr>
          <w:rFonts w:ascii="Times New Roman;Times;Serif" w:hAnsi="Times New Roman;Times;Serif"/>
          <w:b w:val="false"/>
          <w:i w:val="false"/>
          <w:caps w:val="false"/>
          <w:smallCaps w:val="false"/>
          <w:sz w:val="20"/>
        </w:rPr>
        <w:t>. The invalidity or unenforceability of any section, paragraph or provision of this Agreement shall not affect the validity or enforceability of any other section, paragraph or provision hereof. If any section, paragraph or provision of this Agreement is for any reason determined to be invalid or unenforceable, there shall be deemed to be made such minor changes (and only such minor changes) as are necessary to make it valid and enforceable.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18.</w:t>
        <w:tab/>
        <w:t xml:space="preserve">Recognition of the U.S. Special Resolution Regimes.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36</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w:t>
        <w:tab/>
      </w:r>
      <w:r>
        <w:rPr>
          <w:rFonts w:ascii="Times New Roman;Times;Serif" w:hAnsi="Times New Roman;Times;Serif"/>
          <w:b w:val="false"/>
          <w:i w:val="false"/>
          <w:caps w:val="false"/>
          <w:smallCaps w:val="false"/>
          <w:sz w:val="20"/>
        </w:rPr>
        <w:t>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w:t>
        <w:tab/>
      </w:r>
      <w:r>
        <w:rPr>
          <w:rFonts w:ascii="Times New Roman;Times;Serif" w:hAnsi="Times New Roman;Times;Serif"/>
          <w:b w:val="false"/>
          <w:i w:val="false"/>
          <w:caps w:val="false"/>
          <w:smallCaps w:val="false"/>
          <w:sz w:val="20"/>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Agreement, (A) “</w:t>
      </w:r>
      <w:r>
        <w:rPr>
          <w:rFonts w:ascii="Times New Roman;Times;Serif" w:hAnsi="Times New Roman;Times;Serif"/>
          <w:b/>
          <w:i w:val="false"/>
          <w:caps w:val="false"/>
          <w:smallCaps w:val="false"/>
          <w:sz w:val="20"/>
        </w:rPr>
        <w:t>BHC Act Affiliate</w:t>
      </w:r>
      <w:r>
        <w:rPr>
          <w:rFonts w:ascii="Times New Roman;Times;Serif" w:hAnsi="Times New Roman;Times;Serif"/>
          <w:b w:val="false"/>
          <w:i w:val="false"/>
          <w:caps w:val="false"/>
          <w:smallCaps w:val="false"/>
          <w:sz w:val="20"/>
        </w:rPr>
        <w:t>” has the meaning assigned to the term “affiliate” in, and shall be interpreted in accordance with, 12 U.S.C. § 1841(k); (B) “</w:t>
      </w:r>
      <w:r>
        <w:rPr>
          <w:rFonts w:ascii="Times New Roman;Times;Serif" w:hAnsi="Times New Roman;Times;Serif"/>
          <w:b/>
          <w:i w:val="false"/>
          <w:caps w:val="false"/>
          <w:smallCaps w:val="false"/>
          <w:sz w:val="20"/>
        </w:rPr>
        <w:t>Covered Entity</w:t>
      </w:r>
      <w:r>
        <w:rPr>
          <w:rFonts w:ascii="Times New Roman;Times;Serif" w:hAnsi="Times New Roman;Times;Serif"/>
          <w:b w:val="false"/>
          <w:i w:val="false"/>
          <w:caps w:val="false"/>
          <w:smallCaps w:val="false"/>
          <w:sz w:val="20"/>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(C) “</w:t>
      </w:r>
      <w:r>
        <w:rPr>
          <w:rFonts w:ascii="Times New Roman;Times;Serif" w:hAnsi="Times New Roman;Times;Serif"/>
          <w:b/>
          <w:i w:val="false"/>
          <w:caps w:val="false"/>
          <w:smallCaps w:val="false"/>
          <w:sz w:val="20"/>
        </w:rPr>
        <w:t>Default Right</w:t>
      </w:r>
      <w:r>
        <w:rPr>
          <w:rFonts w:ascii="Times New Roman;Times;Serif" w:hAnsi="Times New Roman;Times;Serif"/>
          <w:b w:val="false"/>
          <w:i w:val="false"/>
          <w:caps w:val="false"/>
          <w:smallCaps w:val="false"/>
          <w:sz w:val="20"/>
        </w:rPr>
        <w:t>” has the meaning assigned to that term in, and shall be interpreted in accordance with, 12 C.F.R. §§ 252.81, 47.2 or 382.1, as applicable; and (D) “</w:t>
      </w:r>
      <w:r>
        <w:rPr>
          <w:rFonts w:ascii="Times New Roman;Times;Serif" w:hAnsi="Times New Roman;Times;Serif"/>
          <w:b/>
          <w:i w:val="false"/>
          <w:caps w:val="false"/>
          <w:smallCaps w:val="false"/>
          <w:sz w:val="20"/>
        </w:rPr>
        <w:t>U.S. Special Resolution Regime</w:t>
      </w:r>
      <w:r>
        <w:rPr>
          <w:rFonts w:ascii="Times New Roman;Times;Serif" w:hAnsi="Times New Roman;Times;Serif"/>
          <w:b w:val="false"/>
          <w:i w:val="false"/>
          <w:caps w:val="false"/>
          <w:smallCaps w:val="false"/>
          <w:sz w:val="20"/>
        </w:rPr>
        <w:t>” means each of (i) the Federal Deposit Insurance Act and the regulations promulgated thereunder and (ii) Title II of the Dodd-Frank Wall Street Reform and Consumer Protection Act and the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19.</w:t>
        <w:tab/>
        <w:t>Governing Law Provisions; Currency Provisions</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This Agreement shall be governed by and construed in accordance with the internal laws of the State of New York applicable to agreements made and to be performed in such state. Any legal suit, action or proceeding arising out of or based upon this Agreement or the transactions contemplated hereby (“</w:t>
      </w:r>
      <w:r>
        <w:rPr>
          <w:rFonts w:ascii="Times New Roman;Times;Serif" w:hAnsi="Times New Roman;Times;Serif"/>
          <w:b/>
          <w:i w:val="false"/>
          <w:caps w:val="false"/>
          <w:smallCaps w:val="false"/>
          <w:sz w:val="20"/>
        </w:rPr>
        <w:t>Related Proceedings</w:t>
      </w:r>
      <w:r>
        <w:rPr>
          <w:rFonts w:ascii="Times New Roman;Times;Serif" w:hAnsi="Times New Roman;Times;Serif"/>
          <w:b w:val="false"/>
          <w:i w:val="false"/>
          <w:caps w:val="false"/>
          <w:smallCaps w:val="false"/>
          <w:sz w:val="20"/>
        </w:rPr>
        <w:t>”) may be instituted in the federal courts of the United States of America located in the Borough of Manhattan in the City of New York or the courts of the State of New York in each case located in the Borough of Manhattan in the City of New York (collectively, the “</w:t>
      </w:r>
      <w:r>
        <w:rPr>
          <w:rFonts w:ascii="Times New Roman;Times;Serif" w:hAnsi="Times New Roman;Times;Serif"/>
          <w:b/>
          <w:i w:val="false"/>
          <w:caps w:val="false"/>
          <w:smallCaps w:val="false"/>
          <w:sz w:val="20"/>
        </w:rPr>
        <w:t>Specified Courts</w:t>
      </w:r>
      <w:r>
        <w:rPr>
          <w:rFonts w:ascii="Times New Roman;Times;Serif" w:hAnsi="Times New Roman;Times;Serif"/>
          <w:b w:val="false"/>
          <w:i w:val="false"/>
          <w:caps w:val="false"/>
          <w:smallCaps w:val="false"/>
          <w:sz w:val="20"/>
        </w:rPr>
        <w:t>”), and each party irrevocably submits to the exclusive jurisdiction (except for proceedings instituted in regard to the enforcement of a judgment of any such court (a “</w:t>
      </w:r>
      <w:r>
        <w:rPr>
          <w:rFonts w:ascii="Times New Roman;Times;Serif" w:hAnsi="Times New Roman;Times;Serif"/>
          <w:b/>
          <w:i w:val="false"/>
          <w:caps w:val="false"/>
          <w:smallCaps w:val="false"/>
          <w:sz w:val="20"/>
        </w:rPr>
        <w:t>Related Judgment</w:t>
      </w:r>
      <w:r>
        <w:rPr>
          <w:rFonts w:ascii="Times New Roman;Times;Serif" w:hAnsi="Times New Roman;Times;Serif"/>
          <w:b w:val="false"/>
          <w:i w:val="false"/>
          <w:caps w:val="false"/>
          <w:smallCaps w:val="false"/>
          <w:sz w:val="20"/>
        </w:rPr>
        <w:t>”), as to which such jurisdiction is non-exclusive) of such courts in any such suit, action or proceeding. Service of any process, summons, notice or document by mail to such party’s address set forth above shall be effective service of process for any suit, action or other proceeding brought in any such court. The parties irrevocably and unconditionally waive any objection to the laying of venue of any suit, action or other proceeding in the Specified Courts and irrevocably and unconditionally waive and agree not to plead or claim in any such court that any such suit, action or other proceeding brought in any such court has been brought in an inconvenient forum. The Company irrevocably appoints Alvotech USA Inc. as its agent to receive service of process or other legal summons for purposes of any such suit, action or proceeding that may be instituted in any state or federal court in the City and County of New York.</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any Related Proceeding, each party irrevocably waives, to the fullest extent permitted by applicable law, all immunity (whether on the basis of sovereignty or otherwise) from jurisdiction, service of process, attachment (both before and after judgment) and execution to which it might otherwise be entitled in the Specified Courts, and with respect to any Related Judgment, each party waives any such immunity in the Specified Courts or any other court of competent jurisdiction, and will not raise or claim or cause to be pleaded any such immunity at or in respect of any such Related Proceeding or Related Judgment, including, without limitation, any immunity pursuant to the United States Foreign Sovereign Immunities Act of 1976, as amended.</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37</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obligations of the Company pursuant to this Agreement in respect of any sum due to any Underwriter shall, notwithstanding any judgment in a currency other than United States dollars, not be discharged until the first business day, following receipt by any Underwriter of any sum adjudged to be so due in such other currency, on which such Underwriter may in accordance with normal banking procedures purchase United States dollars with such other currency. If the United States dollars so purchased are less than the sum originally due to such Underwriter in United States dollars hereunder, the Company agrees as a separate obligation and notwithstanding any such judgment, to indemnify such Underwriter against such loss. If the United States dollars so purchased are greater than the sum originally due to such Underwriter hereunder, such Underwriter agrees to pay to the Company an amount equal to the excess of the dollars so purchased over the sum originally due to such Underwriter hereunder.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payments made by the Company under this Agreement, if any, will be made without withholding or deduction for or on account of any present or future taxes, duties, assessments or governmental charges of whatever nature (other than taxes on net income) imposed or levied by or on behalf of Luxembourg or any political subdivision or any taxing authority thereof or therein unless the Company is or becomes required by law to withhold or deduct such taxes, duties, assessments or other governmental charges.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20.</w:t>
        <w:tab/>
        <w:t>General Provisions.</w:t>
      </w:r>
      <w:r>
        <w:rPr>
          <w:rFonts w:ascii="Times New Roman;Times;Serif" w:hAnsi="Times New Roman;Times;Serif"/>
          <w:b w:val="false"/>
          <w:i w:val="false"/>
          <w:caps w:val="false"/>
          <w:smallCaps w:val="false"/>
          <w:sz w:val="20"/>
        </w:rPr>
        <w:t xml:space="preserve"> This Agreement constitutes the entire agreement of the parties to this Agreement and supersedes all prior written or oral and all contemporaneous oral agreements, understandings and negotiations with respect to the subject matter hereof. This Agreement may be executed in two or more counterparts, each one of which shall be an original, with the same effect as if the signatures thereto and hereto were upon the same instrument, and may be delivered by facsimile transmission or by electronic delivery of a portable document format (PDF) file (including any electronic signature covered by the U.S. federal ESIGN Act of 2000, Uniform Electronic Transactions Act, the Electronic Signatures and Records Act or other applicable law, e.g., www.docusign.com). This Agreement may not be amended or modified unless in writing by all of the parties hereto, and no condition herein (express or implied) may be waived unless waived in writing by each party whom the condition is meant to benefit. The section headings herein are for the convenience of the parties only and shall not affect the construction or interpretation of this Agreement.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parties hereto acknowledges that it is a sophisticated business person who was adequately represented by counsel during negotiations regarding the provisions hereof, including, without limitation, the indemnification provisions of ‎Section 9 and the contribution provisions of ‎Section 10, and is fully informed regarding said provisions. Each of the parties hereto further acknowledges that the provisions of ‎Section 9 and ‎Section 10 hereof fairly allocate the risks in light of the ability of the parties to investigate the Company, its affairs and its business in order to assure that adequate disclosure has been made in the Registration Statement, any preliminary prospectus, the Time of Sale Prospectus, the Prospectus each free writing prospectus and the Prospectus (and any amendments and supplements to the foregoing), as contemplated by the Securities Act and the Exchange Act.</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38</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foregoing is in accordance with your understanding of our agreement, kindly sign and return to the Company the enclosed copies hereof, whereupon this instrument, along with all counterparts hereof, shall become a binding agreement in accordance with its terms.</w:t>
      </w:r>
    </w:p>
    <w:p>
      <w:pPr>
        <w:pStyle w:val="TextBody"/>
        <w:bidi w:val="0"/>
        <w:spacing w:before="0" w:after="0"/>
        <w:ind w:left="4320" w:right="0" w:hanging="0"/>
        <w:jc w:val="both"/>
        <w:rPr>
          <w:caps w:val="false"/>
          <w:smallCaps w:val="false"/>
        </w:rPr>
      </w:pPr>
      <w:r>
        <w:rPr>
          <w:caps w:val="false"/>
          <w:smallCaps w:val="false"/>
        </w:rPr>
        <w:t> </w:t>
      </w:r>
    </w:p>
    <w:tbl>
      <w:tblPr>
        <w:tblW w:w="3385" w:type="dxa"/>
        <w:jc w:val="left"/>
        <w:tblInd w:w="0" w:type="dxa"/>
        <w:tblLayout w:type="fixed"/>
        <w:tblCellMar>
          <w:top w:w="0" w:type="dxa"/>
          <w:left w:w="0" w:type="dxa"/>
          <w:bottom w:w="0" w:type="dxa"/>
          <w:right w:w="0" w:type="dxa"/>
        </w:tblCellMar>
      </w:tblPr>
      <w:tblGrid>
        <w:gridCol w:w="60"/>
        <w:gridCol w:w="425"/>
        <w:gridCol w:w="2840"/>
        <w:gridCol w:w="60"/>
      </w:tblGrid>
      <w:tr>
        <w:trPr/>
        <w:tc>
          <w:tcPr>
            <w:tcW w:w="60" w:type="dxa"/>
            <w:tcBorders/>
            <w:vAlign w:val="center"/>
          </w:tcPr>
          <w:p>
            <w:pPr>
              <w:pStyle w:val="TableContents"/>
              <w:bidi w:val="0"/>
              <w:spacing w:before="0" w:after="283"/>
              <w:jc w:val="left"/>
              <w:rPr/>
            </w:pPr>
            <w:r>
              <w:rPr/>
              <w:t> </w:t>
            </w:r>
          </w:p>
        </w:tc>
        <w:tc>
          <w:tcPr>
            <w:tcW w:w="3265" w:type="dxa"/>
            <w:gridSpan w:val="2"/>
            <w:tcBorders/>
            <w:vAlign w:val="center"/>
          </w:tcPr>
          <w:p>
            <w:pPr>
              <w:pStyle w:val="TableContents"/>
              <w:bidi w:val="0"/>
              <w:spacing w:before="0" w:after="283"/>
              <w:jc w:val="both"/>
              <w:rPr/>
            </w:pPr>
            <w:r>
              <w:rPr/>
              <w:t>Very truly yours,</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both"/>
              <w:rPr/>
            </w:pPr>
            <w:r>
              <w:rPr/>
              <w:t> </w:t>
            </w:r>
          </w:p>
        </w:tc>
        <w:tc>
          <w:tcPr>
            <w:tcW w:w="284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265" w:type="dxa"/>
            <w:gridSpan w:val="2"/>
            <w:tcBorders/>
            <w:vAlign w:val="center"/>
          </w:tcPr>
          <w:p>
            <w:pPr>
              <w:pStyle w:val="TableContents"/>
              <w:bidi w:val="0"/>
              <w:spacing w:before="0" w:after="283"/>
              <w:jc w:val="both"/>
              <w:rPr>
                <w:b/>
              </w:rPr>
            </w:pPr>
            <w:r>
              <w:rPr>
                <w:b/>
              </w:rPr>
              <w:t>ALVOTECH</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both"/>
              <w:rPr/>
            </w:pPr>
            <w:r>
              <w:rPr/>
              <w:t> </w:t>
            </w:r>
          </w:p>
        </w:tc>
        <w:tc>
          <w:tcPr>
            <w:tcW w:w="284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both"/>
              <w:rPr/>
            </w:pPr>
            <w:r>
              <w:rPr/>
              <w:t>By: </w:t>
            </w:r>
          </w:p>
        </w:tc>
        <w:tc>
          <w:tcPr>
            <w:tcW w:w="2840" w:type="dxa"/>
            <w:tcBorders>
              <w:bottom w:val="single" w:sz="2" w:space="0" w:color="000000"/>
            </w:tcBorders>
            <w:tcMar>
              <w:bottom w:w="28" w:type="dxa"/>
            </w:tcMar>
            <w:vAlign w:val="center"/>
          </w:tcPr>
          <w:p>
            <w:pPr>
              <w:pStyle w:val="TableContents"/>
              <w:bidi w:val="0"/>
              <w:spacing w:before="0" w:after="283"/>
              <w:jc w:val="both"/>
              <w:rPr/>
            </w:pPr>
            <w:r>
              <w:rPr/>
              <w:t>/s/ Lisa Graver</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both"/>
              <w:rPr/>
            </w:pPr>
            <w:r>
              <w:rPr/>
              <w:t> </w:t>
            </w:r>
          </w:p>
        </w:tc>
        <w:tc>
          <w:tcPr>
            <w:tcW w:w="2840" w:type="dxa"/>
            <w:tcBorders/>
            <w:vAlign w:val="center"/>
          </w:tcPr>
          <w:p>
            <w:pPr>
              <w:pStyle w:val="TableContents"/>
              <w:bidi w:val="0"/>
              <w:spacing w:before="0" w:after="283"/>
              <w:jc w:val="both"/>
              <w:rPr/>
            </w:pPr>
            <w:r>
              <w:rPr/>
              <w:t>Name: Lisa Graver</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both"/>
              <w:rPr/>
            </w:pPr>
            <w:r>
              <w:rPr/>
              <w:t> </w:t>
            </w:r>
          </w:p>
        </w:tc>
        <w:tc>
          <w:tcPr>
            <w:tcW w:w="2840" w:type="dxa"/>
            <w:tcBorders/>
            <w:vAlign w:val="center"/>
          </w:tcPr>
          <w:p>
            <w:pPr>
              <w:pStyle w:val="TableContents"/>
              <w:bidi w:val="0"/>
              <w:spacing w:before="0" w:after="283"/>
              <w:jc w:val="both"/>
              <w:rPr/>
            </w:pPr>
            <w:r>
              <w:rPr/>
              <w:t>Title: Chief Executive Officer</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477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Underwriting Agreement]</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Underwriting Agreement is hereby confirmed and accepted by the Representatives in New York, New York as of the date first above written.</w:t>
      </w:r>
    </w:p>
    <w:p>
      <w:pPr>
        <w:pStyle w:val="TextBody"/>
        <w:bidi w:val="0"/>
        <w:spacing w:before="0" w:after="0"/>
        <w:ind w:left="0" w:right="0" w:firstLine="180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BOFA SECURITIES, INC.</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JEFFERIES LLC</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EVERCORE GROUP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Acting individually and as Representatives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the several Underwriters named in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attached </w:t>
      </w:r>
      <w:r>
        <w:rPr>
          <w:rFonts w:ascii="Times New Roman;Times;Serif" w:hAnsi="Times New Roman;Times;Serif"/>
          <w:b w:val="false"/>
          <w:i w:val="false"/>
          <w:caps w:val="false"/>
          <w:smallCaps w:val="false"/>
          <w:sz w:val="20"/>
          <w:u w:val="single"/>
        </w:rPr>
        <w:t>Schedule 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BOFA SECURITIES, INC.</w:t>
      </w:r>
    </w:p>
    <w:p>
      <w:pPr>
        <w:pStyle w:val="TextBody"/>
        <w:bidi w:val="0"/>
        <w:spacing w:before="0" w:after="0"/>
        <w:ind w:left="0" w:right="0" w:hanging="0"/>
        <w:jc w:val="left"/>
        <w:rPr>
          <w:caps w:val="false"/>
          <w:smallCaps w:val="false"/>
        </w:rPr>
      </w:pPr>
      <w:r>
        <w:rPr>
          <w:caps w:val="false"/>
          <w:smallCaps w:val="false"/>
        </w:rPr>
        <w:t> </w:t>
      </w:r>
    </w:p>
    <w:tbl>
      <w:tblPr>
        <w:tblW w:w="2860" w:type="dxa"/>
        <w:jc w:val="left"/>
        <w:tblInd w:w="0" w:type="dxa"/>
        <w:tblLayout w:type="fixed"/>
        <w:tblCellMar>
          <w:top w:w="0" w:type="dxa"/>
          <w:left w:w="0" w:type="dxa"/>
          <w:bottom w:w="0" w:type="dxa"/>
          <w:right w:w="0" w:type="dxa"/>
        </w:tblCellMar>
      </w:tblPr>
      <w:tblGrid>
        <w:gridCol w:w="425"/>
        <w:gridCol w:w="2375"/>
        <w:gridCol w:w="60"/>
      </w:tblGrid>
      <w:tr>
        <w:trPr/>
        <w:tc>
          <w:tcPr>
            <w:tcW w:w="425" w:type="dxa"/>
            <w:tcBorders/>
            <w:vAlign w:val="center"/>
          </w:tcPr>
          <w:p>
            <w:pPr>
              <w:pStyle w:val="TableContents"/>
              <w:bidi w:val="0"/>
              <w:spacing w:before="0" w:after="283"/>
              <w:jc w:val="left"/>
              <w:rPr/>
            </w:pPr>
            <w:r>
              <w:rPr/>
              <w:t>By: </w:t>
            </w:r>
          </w:p>
        </w:tc>
        <w:tc>
          <w:tcPr>
            <w:tcW w:w="2375" w:type="dxa"/>
            <w:tcBorders>
              <w:bottom w:val="single" w:sz="2" w:space="0" w:color="000000"/>
            </w:tcBorders>
            <w:tcMar>
              <w:bottom w:w="28" w:type="dxa"/>
            </w:tcMar>
            <w:vAlign w:val="center"/>
          </w:tcPr>
          <w:p>
            <w:pPr>
              <w:pStyle w:val="TableContents"/>
              <w:bidi w:val="0"/>
              <w:spacing w:before="0" w:after="283"/>
              <w:jc w:val="left"/>
              <w:rPr/>
            </w:pPr>
            <w:r>
              <w:rPr/>
              <w:t>/s/ Aamir Mecklai</w:t>
            </w:r>
          </w:p>
        </w:tc>
        <w:tc>
          <w:tcPr>
            <w:tcW w:w="60" w:type="dxa"/>
            <w:tcBorders/>
            <w:vAlign w:val="center"/>
          </w:tcPr>
          <w:p>
            <w:pPr>
              <w:pStyle w:val="TableContents"/>
              <w:bidi w:val="0"/>
              <w:spacing w:before="0" w:after="283"/>
              <w:jc w:val="left"/>
              <w:rPr/>
            </w:pPr>
            <w:r>
              <w:rPr/>
              <w:t> </w:t>
            </w:r>
          </w:p>
        </w:tc>
      </w:tr>
      <w:tr>
        <w:trPr/>
        <w:tc>
          <w:tcPr>
            <w:tcW w:w="425" w:type="dxa"/>
            <w:tcBorders/>
            <w:vAlign w:val="center"/>
          </w:tcPr>
          <w:p>
            <w:pPr>
              <w:pStyle w:val="TableContents"/>
              <w:bidi w:val="0"/>
              <w:spacing w:before="0" w:after="283"/>
              <w:jc w:val="left"/>
              <w:rPr/>
            </w:pPr>
            <w:r>
              <w:rPr/>
              <w:t> </w:t>
            </w:r>
          </w:p>
        </w:tc>
        <w:tc>
          <w:tcPr>
            <w:tcW w:w="2375" w:type="dxa"/>
            <w:tcBorders/>
            <w:vAlign w:val="center"/>
          </w:tcPr>
          <w:p>
            <w:pPr>
              <w:pStyle w:val="TableContents"/>
              <w:bidi w:val="0"/>
              <w:spacing w:before="0" w:after="283"/>
              <w:jc w:val="left"/>
              <w:rPr/>
            </w:pPr>
            <w:r>
              <w:rPr/>
              <w:t>Name: Aamir Mecklai</w:t>
            </w:r>
          </w:p>
        </w:tc>
        <w:tc>
          <w:tcPr>
            <w:tcW w:w="60" w:type="dxa"/>
            <w:tcBorders/>
            <w:vAlign w:val="center"/>
          </w:tcPr>
          <w:p>
            <w:pPr>
              <w:pStyle w:val="TableContents"/>
              <w:bidi w:val="0"/>
              <w:spacing w:before="0" w:after="283"/>
              <w:jc w:val="left"/>
              <w:rPr/>
            </w:pPr>
            <w:r>
              <w:rPr/>
              <w:t> </w:t>
            </w:r>
          </w:p>
        </w:tc>
      </w:tr>
      <w:tr>
        <w:trPr/>
        <w:tc>
          <w:tcPr>
            <w:tcW w:w="425" w:type="dxa"/>
            <w:tcBorders/>
            <w:vAlign w:val="center"/>
          </w:tcPr>
          <w:p>
            <w:pPr>
              <w:pStyle w:val="TableContents"/>
              <w:bidi w:val="0"/>
              <w:spacing w:before="0" w:after="283"/>
              <w:jc w:val="left"/>
              <w:rPr/>
            </w:pPr>
            <w:r>
              <w:rPr/>
              <w:t> </w:t>
            </w:r>
          </w:p>
        </w:tc>
        <w:tc>
          <w:tcPr>
            <w:tcW w:w="2375" w:type="dxa"/>
            <w:tcBorders/>
            <w:vAlign w:val="center"/>
          </w:tcPr>
          <w:p>
            <w:pPr>
              <w:pStyle w:val="TableContents"/>
              <w:bidi w:val="0"/>
              <w:spacing w:before="0" w:after="283"/>
              <w:jc w:val="left"/>
              <w:rPr/>
            </w:pPr>
            <w:r>
              <w:rPr/>
              <w:t>Title: Managing Director</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JEFFERIES LLC</w:t>
      </w:r>
    </w:p>
    <w:p>
      <w:pPr>
        <w:pStyle w:val="TextBody"/>
        <w:bidi w:val="0"/>
        <w:spacing w:before="0" w:after="0"/>
        <w:ind w:left="0" w:right="0" w:hanging="0"/>
        <w:jc w:val="left"/>
        <w:rPr>
          <w:caps w:val="false"/>
          <w:smallCaps w:val="false"/>
        </w:rPr>
      </w:pPr>
      <w:r>
        <w:rPr>
          <w:caps w:val="false"/>
          <w:smallCaps w:val="false"/>
        </w:rPr>
        <w:t> </w:t>
      </w:r>
    </w:p>
    <w:tbl>
      <w:tblPr>
        <w:tblW w:w="2860" w:type="dxa"/>
        <w:jc w:val="left"/>
        <w:tblInd w:w="0" w:type="dxa"/>
        <w:tblLayout w:type="fixed"/>
        <w:tblCellMar>
          <w:top w:w="0" w:type="dxa"/>
          <w:left w:w="0" w:type="dxa"/>
          <w:bottom w:w="0" w:type="dxa"/>
          <w:right w:w="0" w:type="dxa"/>
        </w:tblCellMar>
      </w:tblPr>
      <w:tblGrid>
        <w:gridCol w:w="425"/>
        <w:gridCol w:w="2375"/>
        <w:gridCol w:w="60"/>
      </w:tblGrid>
      <w:tr>
        <w:trPr/>
        <w:tc>
          <w:tcPr>
            <w:tcW w:w="425" w:type="dxa"/>
            <w:tcBorders/>
            <w:vAlign w:val="center"/>
          </w:tcPr>
          <w:p>
            <w:pPr>
              <w:pStyle w:val="TableContents"/>
              <w:bidi w:val="0"/>
              <w:spacing w:before="0" w:after="283"/>
              <w:jc w:val="left"/>
              <w:rPr/>
            </w:pPr>
            <w:r>
              <w:rPr/>
              <w:t>By: </w:t>
            </w:r>
          </w:p>
        </w:tc>
        <w:tc>
          <w:tcPr>
            <w:tcW w:w="2375" w:type="dxa"/>
            <w:tcBorders>
              <w:bottom w:val="single" w:sz="2" w:space="0" w:color="000000"/>
            </w:tcBorders>
            <w:tcMar>
              <w:bottom w:w="28" w:type="dxa"/>
            </w:tcMar>
            <w:vAlign w:val="center"/>
          </w:tcPr>
          <w:p>
            <w:pPr>
              <w:pStyle w:val="TableContents"/>
              <w:bidi w:val="0"/>
              <w:spacing w:before="0" w:after="283"/>
              <w:jc w:val="left"/>
              <w:rPr/>
            </w:pPr>
            <w:r>
              <w:rPr/>
              <w:t>/s/ Jack Fabbri</w:t>
              <w:tab/>
            </w:r>
          </w:p>
        </w:tc>
        <w:tc>
          <w:tcPr>
            <w:tcW w:w="60" w:type="dxa"/>
            <w:tcBorders/>
            <w:vAlign w:val="center"/>
          </w:tcPr>
          <w:p>
            <w:pPr>
              <w:pStyle w:val="TableContents"/>
              <w:bidi w:val="0"/>
              <w:spacing w:before="0" w:after="283"/>
              <w:jc w:val="left"/>
              <w:rPr/>
            </w:pPr>
            <w:r>
              <w:rPr/>
              <w:t> </w:t>
            </w:r>
          </w:p>
        </w:tc>
      </w:tr>
      <w:tr>
        <w:trPr/>
        <w:tc>
          <w:tcPr>
            <w:tcW w:w="425" w:type="dxa"/>
            <w:tcBorders/>
            <w:vAlign w:val="center"/>
          </w:tcPr>
          <w:p>
            <w:pPr>
              <w:pStyle w:val="TableContents"/>
              <w:bidi w:val="0"/>
              <w:spacing w:before="0" w:after="283"/>
              <w:jc w:val="left"/>
              <w:rPr/>
            </w:pPr>
            <w:r>
              <w:rPr/>
              <w:t> </w:t>
            </w:r>
          </w:p>
        </w:tc>
        <w:tc>
          <w:tcPr>
            <w:tcW w:w="2375" w:type="dxa"/>
            <w:tcBorders/>
            <w:vAlign w:val="center"/>
          </w:tcPr>
          <w:p>
            <w:pPr>
              <w:pStyle w:val="TableContents"/>
              <w:bidi w:val="0"/>
              <w:spacing w:before="0" w:after="283"/>
              <w:jc w:val="left"/>
              <w:rPr/>
            </w:pPr>
            <w:r>
              <w:rPr/>
              <w:t>Name: Jack Fabbri</w:t>
            </w:r>
          </w:p>
        </w:tc>
        <w:tc>
          <w:tcPr>
            <w:tcW w:w="60" w:type="dxa"/>
            <w:tcBorders/>
            <w:vAlign w:val="center"/>
          </w:tcPr>
          <w:p>
            <w:pPr>
              <w:pStyle w:val="TableContents"/>
              <w:bidi w:val="0"/>
              <w:spacing w:before="0" w:after="283"/>
              <w:jc w:val="left"/>
              <w:rPr/>
            </w:pPr>
            <w:r>
              <w:rPr/>
              <w:t> </w:t>
            </w:r>
          </w:p>
        </w:tc>
      </w:tr>
      <w:tr>
        <w:trPr/>
        <w:tc>
          <w:tcPr>
            <w:tcW w:w="425" w:type="dxa"/>
            <w:tcBorders/>
            <w:vAlign w:val="center"/>
          </w:tcPr>
          <w:p>
            <w:pPr>
              <w:pStyle w:val="TableContents"/>
              <w:bidi w:val="0"/>
              <w:spacing w:before="0" w:after="283"/>
              <w:jc w:val="left"/>
              <w:rPr/>
            </w:pPr>
            <w:r>
              <w:rPr/>
              <w:t> </w:t>
            </w:r>
          </w:p>
        </w:tc>
        <w:tc>
          <w:tcPr>
            <w:tcW w:w="2375" w:type="dxa"/>
            <w:tcBorders/>
            <w:vAlign w:val="center"/>
          </w:tcPr>
          <w:p>
            <w:pPr>
              <w:pStyle w:val="TableContents"/>
              <w:bidi w:val="0"/>
              <w:spacing w:before="0" w:after="283"/>
              <w:jc w:val="left"/>
              <w:rPr/>
            </w:pPr>
            <w:r>
              <w:rPr/>
              <w:t>Title: Managing Director</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EVERCORE GROUP L.L.C.</w:t>
      </w:r>
    </w:p>
    <w:p>
      <w:pPr>
        <w:pStyle w:val="TextBody"/>
        <w:bidi w:val="0"/>
        <w:spacing w:before="0" w:after="0"/>
        <w:ind w:left="0" w:right="0" w:hanging="0"/>
        <w:jc w:val="left"/>
        <w:rPr>
          <w:caps w:val="false"/>
          <w:smallCaps w:val="false"/>
        </w:rPr>
      </w:pPr>
      <w:r>
        <w:rPr>
          <w:caps w:val="false"/>
          <w:smallCaps w:val="false"/>
        </w:rPr>
        <w:t> </w:t>
      </w:r>
    </w:p>
    <w:tbl>
      <w:tblPr>
        <w:tblW w:w="3535" w:type="dxa"/>
        <w:jc w:val="left"/>
        <w:tblInd w:w="0" w:type="dxa"/>
        <w:tblLayout w:type="fixed"/>
        <w:tblCellMar>
          <w:top w:w="0" w:type="dxa"/>
          <w:left w:w="0" w:type="dxa"/>
          <w:bottom w:w="0" w:type="dxa"/>
          <w:right w:w="0" w:type="dxa"/>
        </w:tblCellMar>
      </w:tblPr>
      <w:tblGrid>
        <w:gridCol w:w="425"/>
        <w:gridCol w:w="3050"/>
        <w:gridCol w:w="60"/>
      </w:tblGrid>
      <w:tr>
        <w:trPr/>
        <w:tc>
          <w:tcPr>
            <w:tcW w:w="425" w:type="dxa"/>
            <w:tcBorders/>
            <w:vAlign w:val="center"/>
          </w:tcPr>
          <w:p>
            <w:pPr>
              <w:pStyle w:val="TableContents"/>
              <w:bidi w:val="0"/>
              <w:spacing w:before="0" w:after="283"/>
              <w:jc w:val="left"/>
              <w:rPr/>
            </w:pPr>
            <w:r>
              <w:rPr/>
              <w:t>By: </w:t>
            </w:r>
          </w:p>
        </w:tc>
        <w:tc>
          <w:tcPr>
            <w:tcW w:w="3050" w:type="dxa"/>
            <w:tcBorders>
              <w:bottom w:val="single" w:sz="2" w:space="0" w:color="000000"/>
            </w:tcBorders>
            <w:tcMar>
              <w:bottom w:w="28" w:type="dxa"/>
            </w:tcMar>
            <w:vAlign w:val="center"/>
          </w:tcPr>
          <w:p>
            <w:pPr>
              <w:pStyle w:val="TableContents"/>
              <w:bidi w:val="0"/>
              <w:spacing w:before="0" w:after="283"/>
              <w:jc w:val="left"/>
              <w:rPr/>
            </w:pPr>
            <w:r>
              <w:rPr/>
              <w:t>/s/ Sachin Aggarwal</w:t>
              <w:tab/>
            </w:r>
          </w:p>
        </w:tc>
        <w:tc>
          <w:tcPr>
            <w:tcW w:w="60" w:type="dxa"/>
            <w:tcBorders/>
            <w:vAlign w:val="center"/>
          </w:tcPr>
          <w:p>
            <w:pPr>
              <w:pStyle w:val="TableContents"/>
              <w:bidi w:val="0"/>
              <w:spacing w:before="0" w:after="283"/>
              <w:jc w:val="left"/>
              <w:rPr/>
            </w:pPr>
            <w:r>
              <w:rPr/>
              <w:t> </w:t>
            </w:r>
          </w:p>
        </w:tc>
      </w:tr>
      <w:tr>
        <w:trPr/>
        <w:tc>
          <w:tcPr>
            <w:tcW w:w="425"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left"/>
              <w:rPr/>
            </w:pPr>
            <w:r>
              <w:rPr/>
              <w:t>Name: Sachin Aggarwal</w:t>
            </w:r>
          </w:p>
        </w:tc>
        <w:tc>
          <w:tcPr>
            <w:tcW w:w="60" w:type="dxa"/>
            <w:tcBorders/>
            <w:vAlign w:val="center"/>
          </w:tcPr>
          <w:p>
            <w:pPr>
              <w:pStyle w:val="TableContents"/>
              <w:bidi w:val="0"/>
              <w:spacing w:before="0" w:after="283"/>
              <w:jc w:val="left"/>
              <w:rPr/>
            </w:pPr>
            <w:r>
              <w:rPr/>
              <w:t> </w:t>
            </w:r>
          </w:p>
        </w:tc>
      </w:tr>
      <w:tr>
        <w:trPr/>
        <w:tc>
          <w:tcPr>
            <w:tcW w:w="425"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left"/>
              <w:rPr/>
            </w:pPr>
            <w:r>
              <w:rPr/>
              <w:t>Title: Senior Managing Director</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477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Underwriting Agreement</w:t>
      </w:r>
      <w:r>
        <w:rPr>
          <w:rFonts w:ascii="Times New Roman;Times;Serif" w:hAnsi="Times New Roman;Times;Serif"/>
          <w:b w:val="false"/>
          <w:i w:val="false"/>
          <w:caps w:val="false"/>
          <w:smallCaps w:val="false"/>
          <w:sz w:val="20"/>
        </w:rPr>
        <w:t>]</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A</w:t>
      </w:r>
    </w:p>
    <w:p>
      <w:pPr>
        <w:pStyle w:val="TextBody"/>
        <w:bidi w:val="0"/>
        <w:spacing w:before="0" w:after="0"/>
        <w:jc w:val="right"/>
        <w:rPr>
          <w:caps w:val="false"/>
          <w:smallCaps w:val="false"/>
        </w:rPr>
      </w:pPr>
      <w:r>
        <w:rPr>
          <w:caps w:val="false"/>
          <w:smallCaps w:val="false"/>
        </w:rPr>
        <w:t> </w:t>
      </w:r>
    </w:p>
    <w:tbl>
      <w:tblPr>
        <w:tblW w:w="3685" w:type="dxa"/>
        <w:jc w:val="center"/>
        <w:tblInd w:w="0" w:type="dxa"/>
        <w:tblLayout w:type="fixed"/>
        <w:tblCellMar>
          <w:top w:w="0" w:type="dxa"/>
          <w:left w:w="0" w:type="dxa"/>
          <w:bottom w:w="0" w:type="dxa"/>
          <w:right w:w="0" w:type="dxa"/>
        </w:tblCellMar>
      </w:tblPr>
      <w:tblGrid>
        <w:gridCol w:w="2270"/>
        <w:gridCol w:w="60"/>
        <w:gridCol w:w="1280"/>
        <w:gridCol w:w="75"/>
      </w:tblGrid>
      <w:tr>
        <w:trPr/>
        <w:tc>
          <w:tcPr>
            <w:tcW w:w="2270" w:type="dxa"/>
            <w:tcBorders/>
            <w:vAlign w:val="center"/>
          </w:tcPr>
          <w:p>
            <w:pPr>
              <w:pStyle w:val="TableContents"/>
              <w:bidi w:val="0"/>
              <w:spacing w:before="0" w:after="283"/>
              <w:jc w:val="left"/>
              <w:rPr>
                <w:b/>
              </w:rPr>
            </w:pPr>
            <w:r>
              <w:rPr>
                <w:b/>
              </w:rPr>
              <w:t>Underwriters</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pPr>
            <w:r>
              <w:rPr>
                <w:b/>
              </w:rPr>
              <w:t>Number of</w:t>
            </w:r>
            <w:r>
              <w:rPr/>
              <w:br/>
            </w:r>
            <w:r>
              <w:rPr>
                <w:b/>
              </w:rPr>
              <w:t>Firm Shares</w:t>
            </w:r>
            <w:r>
              <w:rPr/>
              <w:br/>
            </w:r>
            <w:r>
              <w:rPr>
                <w:b/>
              </w:rPr>
              <w:t xml:space="preserve">to be </w:t>
              <w:br/>
              <w:t>Subscribed</w:t>
            </w:r>
          </w:p>
        </w:tc>
        <w:tc>
          <w:tcPr>
            <w:tcW w:w="75" w:type="dxa"/>
            <w:tcBorders/>
            <w:shd w:fill="FFFFFF" w:val="clear"/>
            <w:vAlign w:val="center"/>
          </w:tcPr>
          <w:p>
            <w:pPr>
              <w:pStyle w:val="TableContents"/>
              <w:bidi w:val="0"/>
              <w:spacing w:before="0" w:after="283"/>
              <w:jc w:val="left"/>
              <w:rPr/>
            </w:pPr>
            <w:r>
              <w:rPr/>
              <w:t> </w:t>
            </w:r>
          </w:p>
        </w:tc>
      </w:tr>
      <w:tr>
        <w:trPr/>
        <w:tc>
          <w:tcPr>
            <w:tcW w:w="22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center"/>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270" w:type="dxa"/>
            <w:tcBorders/>
            <w:shd w:fill="E5FFFF" w:val="clear"/>
            <w:vAlign w:val="center"/>
          </w:tcPr>
          <w:p>
            <w:pPr>
              <w:pStyle w:val="TableContents"/>
              <w:bidi w:val="0"/>
              <w:spacing w:before="0" w:after="283"/>
              <w:jc w:val="left"/>
              <w:rPr/>
            </w:pPr>
            <w:r>
              <w:rPr/>
              <w:t>BofA Securities, Inc.</w:t>
            </w:r>
          </w:p>
        </w:tc>
        <w:tc>
          <w:tcPr>
            <w:tcW w:w="60" w:type="dxa"/>
            <w:tcBorders/>
            <w:shd w:fill="E5FFFF" w:val="clear"/>
            <w:vAlign w:val="center"/>
          </w:tcPr>
          <w:p>
            <w:pPr>
              <w:pStyle w:val="TableContents"/>
              <w:bidi w:val="0"/>
              <w:spacing w:before="0" w:after="283"/>
              <w:jc w:val="left"/>
              <w:rPr/>
            </w:pPr>
            <w:r>
              <w:rPr/>
              <w:t> </w:t>
            </w:r>
          </w:p>
        </w:tc>
        <w:tc>
          <w:tcPr>
            <w:tcW w:w="1280" w:type="dxa"/>
            <w:tcBorders/>
            <w:shd w:fill="E5FFFF" w:val="clear"/>
            <w:vAlign w:val="center"/>
          </w:tcPr>
          <w:p>
            <w:pPr>
              <w:pStyle w:val="TableContents"/>
              <w:bidi w:val="0"/>
              <w:spacing w:before="0" w:after="283"/>
              <w:jc w:val="center"/>
              <w:rPr/>
            </w:pPr>
            <w:r>
              <w:rPr/>
              <w:t>7,933,333</w:t>
            </w:r>
          </w:p>
        </w:tc>
        <w:tc>
          <w:tcPr>
            <w:tcW w:w="75" w:type="dxa"/>
            <w:tcBorders/>
            <w:shd w:fill="FFFFFF" w:val="clear"/>
            <w:vAlign w:val="center"/>
          </w:tcPr>
          <w:p>
            <w:pPr>
              <w:pStyle w:val="TableContents"/>
              <w:bidi w:val="0"/>
              <w:spacing w:before="0" w:after="283"/>
              <w:jc w:val="left"/>
              <w:rPr/>
            </w:pPr>
            <w:r>
              <w:rPr/>
              <w:t> </w:t>
            </w:r>
          </w:p>
        </w:tc>
      </w:tr>
      <w:tr>
        <w:trPr/>
        <w:tc>
          <w:tcPr>
            <w:tcW w:w="2270" w:type="dxa"/>
            <w:tcBorders/>
            <w:shd w:fill="FFFFFF" w:val="clear"/>
            <w:vAlign w:val="center"/>
          </w:tcPr>
          <w:p>
            <w:pPr>
              <w:pStyle w:val="TableContents"/>
              <w:bidi w:val="0"/>
              <w:spacing w:before="0" w:after="283"/>
              <w:jc w:val="left"/>
              <w:rPr/>
            </w:pPr>
            <w:r>
              <w:rPr/>
              <w:t>Jefferies LLC</w:t>
            </w:r>
          </w:p>
        </w:tc>
        <w:tc>
          <w:tcPr>
            <w:tcW w:w="6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center"/>
              <w:rPr/>
            </w:pPr>
            <w:r>
              <w:rPr/>
              <w:t>7,933,333</w:t>
            </w:r>
          </w:p>
        </w:tc>
        <w:tc>
          <w:tcPr>
            <w:tcW w:w="75" w:type="dxa"/>
            <w:tcBorders/>
            <w:shd w:fill="FFFFFF" w:val="clear"/>
            <w:vAlign w:val="center"/>
          </w:tcPr>
          <w:p>
            <w:pPr>
              <w:pStyle w:val="TableContents"/>
              <w:bidi w:val="0"/>
              <w:spacing w:before="0" w:after="283"/>
              <w:jc w:val="left"/>
              <w:rPr/>
            </w:pPr>
            <w:r>
              <w:rPr/>
              <w:t> </w:t>
            </w:r>
          </w:p>
        </w:tc>
      </w:tr>
      <w:tr>
        <w:trPr/>
        <w:tc>
          <w:tcPr>
            <w:tcW w:w="2270" w:type="dxa"/>
            <w:tcBorders/>
            <w:shd w:fill="E5FFFF" w:val="clear"/>
            <w:vAlign w:val="center"/>
          </w:tcPr>
          <w:p>
            <w:pPr>
              <w:pStyle w:val="TableContents"/>
              <w:bidi w:val="0"/>
              <w:spacing w:before="0" w:after="283"/>
              <w:jc w:val="left"/>
              <w:rPr/>
            </w:pPr>
            <w:r>
              <w:rPr/>
              <w:t>Evercore Group L.L.C.</w:t>
            </w:r>
          </w:p>
        </w:tc>
        <w:tc>
          <w:tcPr>
            <w:tcW w:w="60" w:type="dxa"/>
            <w:tcBorders/>
            <w:shd w:fill="E5FFFF" w:val="clear"/>
            <w:vAlign w:val="center"/>
          </w:tcPr>
          <w:p>
            <w:pPr>
              <w:pStyle w:val="TableContents"/>
              <w:bidi w:val="0"/>
              <w:spacing w:before="0" w:after="283"/>
              <w:jc w:val="left"/>
              <w:rPr/>
            </w:pPr>
            <w:r>
              <w:rPr/>
              <w:t> </w:t>
            </w:r>
          </w:p>
        </w:tc>
        <w:tc>
          <w:tcPr>
            <w:tcW w:w="1280" w:type="dxa"/>
            <w:tcBorders>
              <w:bottom w:val="single" w:sz="2" w:space="0" w:color="000000"/>
            </w:tcBorders>
            <w:shd w:fill="E5FFFF" w:val="clear"/>
            <w:tcMar>
              <w:bottom w:w="28" w:type="dxa"/>
            </w:tcMar>
            <w:vAlign w:val="center"/>
          </w:tcPr>
          <w:p>
            <w:pPr>
              <w:pStyle w:val="TableContents"/>
              <w:bidi w:val="0"/>
              <w:spacing w:before="0" w:after="283"/>
              <w:jc w:val="center"/>
              <w:rPr/>
            </w:pPr>
            <w:r>
              <w:rPr/>
              <w:t>6,800,001</w:t>
            </w:r>
          </w:p>
        </w:tc>
        <w:tc>
          <w:tcPr>
            <w:tcW w:w="75" w:type="dxa"/>
            <w:tcBorders/>
            <w:shd w:fill="FFFFFF" w:val="clear"/>
            <w:vAlign w:val="center"/>
          </w:tcPr>
          <w:p>
            <w:pPr>
              <w:pStyle w:val="TableContents"/>
              <w:bidi w:val="0"/>
              <w:spacing w:before="0" w:after="283"/>
              <w:jc w:val="left"/>
              <w:rPr/>
            </w:pPr>
            <w:r>
              <w:rPr/>
              <w:t> </w:t>
            </w:r>
          </w:p>
        </w:tc>
      </w:tr>
      <w:tr>
        <w:trPr/>
        <w:tc>
          <w:tcPr>
            <w:tcW w:w="2270" w:type="dxa"/>
            <w:tcBorders/>
            <w:shd w:fill="FFFFFF" w:val="clear"/>
            <w:vAlign w:val="center"/>
          </w:tcPr>
          <w:p>
            <w:pPr>
              <w:pStyle w:val="TableContents"/>
              <w:bidi w:val="0"/>
              <w:spacing w:before="0" w:after="283"/>
              <w:jc w:val="left"/>
              <w:rPr/>
            </w:pPr>
            <w:r>
              <w:rPr/>
              <w:tab/>
              <w:t>Total</w:t>
            </w:r>
          </w:p>
        </w:tc>
        <w:tc>
          <w:tcPr>
            <w:tcW w:w="60" w:type="dxa"/>
            <w:tcBorders/>
            <w:shd w:fill="FFFFFF" w:val="clear"/>
            <w:vAlign w:val="center"/>
          </w:tcPr>
          <w:p>
            <w:pPr>
              <w:pStyle w:val="TableContents"/>
              <w:bidi w:val="0"/>
              <w:spacing w:before="0" w:after="283"/>
              <w:jc w:val="left"/>
              <w:rPr/>
            </w:pPr>
            <w:r>
              <w:rPr/>
              <w:t> </w:t>
            </w:r>
          </w:p>
        </w:tc>
        <w:tc>
          <w:tcPr>
            <w:tcW w:w="1280" w:type="dxa"/>
            <w:tcBorders>
              <w:bottom w:val="double" w:sz="6" w:space="0" w:color="000000"/>
            </w:tcBorders>
            <w:shd w:fill="FFFFFF" w:val="clear"/>
            <w:tcMar>
              <w:bottom w:w="28" w:type="dxa"/>
            </w:tcMar>
            <w:vAlign w:val="center"/>
          </w:tcPr>
          <w:p>
            <w:pPr>
              <w:pStyle w:val="TableContents"/>
              <w:bidi w:val="0"/>
              <w:spacing w:before="0" w:after="283"/>
              <w:jc w:val="center"/>
              <w:rPr/>
            </w:pPr>
            <w:r>
              <w:rPr/>
              <w:t>22,666,667</w:t>
            </w:r>
          </w:p>
        </w:tc>
        <w:tc>
          <w:tcPr>
            <w:tcW w:w="75" w:type="dxa"/>
            <w:tcBorders/>
            <w:shd w:fill="FFFFFF" w:val="clear"/>
            <w:vAlign w:val="center"/>
          </w:tcPr>
          <w:p>
            <w:pPr>
              <w:pStyle w:val="TableContents"/>
              <w:bidi w:val="0"/>
              <w:spacing w:before="0" w:after="283"/>
              <w:jc w:val="left"/>
              <w:rPr/>
            </w:pPr>
            <w:r>
              <w:rPr/>
              <w:t> </w:t>
            </w:r>
          </w:p>
        </w:tc>
      </w:tr>
    </w:tbl>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center"/>
              <w:rPr/>
            </w:pPr>
            <w:r>
              <w:rPr/>
              <w:t>A-1</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B</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Permitted Section 5(d) Communications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B-1</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C</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Free Writing Prospectuses Included in the Time of Sale Prospectus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Issuer Free Writing Prospectus, dated June 15, 2026.</w:t>
      </w:r>
    </w:p>
    <w:tbl>
      <w:tblPr>
        <w:tblW w:w="1175" w:type="dxa"/>
        <w:jc w:val="left"/>
        <w:tblInd w:w="0" w:type="dxa"/>
        <w:tblLayout w:type="fixed"/>
        <w:tblCellMar>
          <w:top w:w="0" w:type="dxa"/>
          <w:left w:w="0" w:type="dxa"/>
          <w:bottom w:w="0" w:type="dxa"/>
          <w:right w:w="0" w:type="dxa"/>
        </w:tblCellMar>
      </w:tblPr>
      <w:tblGrid>
        <w:gridCol w:w="1175"/>
      </w:tblGrid>
      <w:tr>
        <w:trPr/>
        <w:tc>
          <w:tcPr>
            <w:tcW w:w="1175" w:type="dxa"/>
            <w:tcBorders/>
            <w:vAlign w:val="center"/>
          </w:tcPr>
          <w:p>
            <w:pPr>
              <w:pStyle w:val="TableContents"/>
              <w:bidi w:val="0"/>
              <w:spacing w:before="0" w:after="283"/>
              <w:jc w:val="center"/>
              <w:rPr/>
            </w:pPr>
            <w:r>
              <w:rPr/>
              <w:t>Exhibit A-1</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jc w:val="righ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Form of Lock-up Agreement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__, 2026</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BofA Securities, Inc.</w:t>
        <w:br/>
        <w:t>Jefferies LLC</w:t>
        <w:br/>
        <w:t>Evercore Group L.L.C.</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Representatives of the Several Underwriters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BofA Securities, Inc.</w:t>
        <w:br/>
        <w:t>One Bryant Park</w:t>
        <w:br/>
        <w:t>New York, New York 10036</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Jefferies LLC</w:t>
        <w:br/>
        <w:t>520 Madison Avenue</w:t>
        <w:br/>
        <w:t>New York, New York 10022</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Evercore Group L.L.C.</w:t>
        <w:br/>
        <w:t>55 East 52nd Street, 35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w:t>
        <w:br/>
        <w:t>New York, New York 10055</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      Alvotech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&amp; Gentlemen: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is an owner of ordinary shares, nominal value $0.01 per share, of the Company (“</w:t>
      </w:r>
      <w:r>
        <w:rPr>
          <w:rFonts w:ascii="Times New Roman;Times;Serif" w:hAnsi="Times New Roman;Times;Serif"/>
          <w:b/>
          <w:i w:val="false"/>
          <w:caps w:val="false"/>
          <w:smallCaps w:val="false"/>
          <w:sz w:val="20"/>
        </w:rPr>
        <w:t>Shares</w:t>
      </w:r>
      <w:r>
        <w:rPr>
          <w:rFonts w:ascii="Times New Roman;Times;Serif" w:hAnsi="Times New Roman;Times;Serif"/>
          <w:b w:val="false"/>
          <w:i w:val="false"/>
          <w:caps w:val="false"/>
          <w:smallCaps w:val="false"/>
          <w:sz w:val="20"/>
        </w:rPr>
        <w:t>”) or of securities convertible into or exchangeable or exercisable for Shares. The Company proposes to conduct a public offering of Shares (the “</w:t>
      </w:r>
      <w:r>
        <w:rPr>
          <w:rFonts w:ascii="Times New Roman;Times;Serif" w:hAnsi="Times New Roman;Times;Serif"/>
          <w:b/>
          <w:i w:val="false"/>
          <w:caps w:val="false"/>
          <w:smallCaps w:val="false"/>
          <w:sz w:val="20"/>
        </w:rPr>
        <w:t>Offering</w:t>
      </w:r>
      <w:r>
        <w:rPr>
          <w:rFonts w:ascii="Times New Roman;Times;Serif" w:hAnsi="Times New Roman;Times;Serif"/>
          <w:b w:val="false"/>
          <w:i w:val="false"/>
          <w:caps w:val="false"/>
          <w:smallCaps w:val="false"/>
          <w:sz w:val="20"/>
        </w:rPr>
        <w:t>”) for which BofA Securities, Inc., Jefferies LLC and Evercore Group L.L.C. will act as the representatives of the underwriters (in such capacity, the “</w:t>
      </w:r>
      <w:r>
        <w:rPr>
          <w:rFonts w:ascii="Times New Roman;Times;Serif" w:hAnsi="Times New Roman;Times;Serif"/>
          <w:b/>
          <w:i w:val="false"/>
          <w:caps w:val="false"/>
          <w:smallCaps w:val="false"/>
          <w:sz w:val="20"/>
        </w:rPr>
        <w:t>Representatives</w:t>
      </w:r>
      <w:r>
        <w:rPr>
          <w:rFonts w:ascii="Times New Roman;Times;Serif" w:hAnsi="Times New Roman;Times;Serif"/>
          <w:b w:val="false"/>
          <w:i w:val="false"/>
          <w:caps w:val="false"/>
          <w:smallCaps w:val="false"/>
          <w:sz w:val="20"/>
        </w:rPr>
        <w:t>”). The undersigned recognizes that the Offering will benefit each of the Company and the undersigned. The undersigned acknowledges that the underwriters are relying on the representations and agreements of the undersigned contained in this letter agreement in conducting the Offering and, at a subsequent date, in entering into an underwriting agreement (the “</w:t>
      </w:r>
      <w:r>
        <w:rPr>
          <w:rFonts w:ascii="Times New Roman;Times;Serif" w:hAnsi="Times New Roman;Times;Serif"/>
          <w:b/>
          <w:i w:val="false"/>
          <w:caps w:val="false"/>
          <w:smallCaps w:val="false"/>
          <w:sz w:val="20"/>
        </w:rPr>
        <w:t>Underwriting Agreement</w:t>
      </w:r>
      <w:r>
        <w:rPr>
          <w:rFonts w:ascii="Times New Roman;Times;Serif" w:hAnsi="Times New Roman;Times;Serif"/>
          <w:b w:val="false"/>
          <w:i w:val="false"/>
          <w:caps w:val="false"/>
          <w:smallCaps w:val="false"/>
          <w:sz w:val="20"/>
        </w:rPr>
        <w:t>”) and other underwriting arrangements with the Company with respect to the Offering.</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Annex A sets forth definitions for capitalized terms used in this letter agreement that are not defined in the body of this agreement. Those definitions are a part of this agreement.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consideration of the foregoing, and for other good and valuable consideration, the receipt and sufficiency of which are hereby acknowledged, the undersigned hereby agrees that, during the Lock-up Period, the undersigned will not (and will cause any Family Member not to), without the prior written consent of the Representatives, which may withhold their consent in their sole discretion:</w:t>
      </w:r>
    </w:p>
    <w:tbl>
      <w:tblPr>
        <w:tblW w:w="1175" w:type="dxa"/>
        <w:jc w:val="left"/>
        <w:tblInd w:w="0" w:type="dxa"/>
        <w:tblLayout w:type="fixed"/>
        <w:tblCellMar>
          <w:top w:w="0" w:type="dxa"/>
          <w:left w:w="0" w:type="dxa"/>
          <w:bottom w:w="0" w:type="dxa"/>
          <w:right w:w="0" w:type="dxa"/>
        </w:tblCellMar>
      </w:tblPr>
      <w:tblGrid>
        <w:gridCol w:w="1175"/>
      </w:tblGrid>
      <w:tr>
        <w:trPr/>
        <w:tc>
          <w:tcPr>
            <w:tcW w:w="1175" w:type="dxa"/>
            <w:tcBorders/>
            <w:vAlign w:val="center"/>
          </w:tcPr>
          <w:p>
            <w:pPr>
              <w:pStyle w:val="TableContents"/>
              <w:bidi w:val="0"/>
              <w:spacing w:before="0" w:after="283"/>
              <w:jc w:val="center"/>
              <w:rPr/>
            </w:pPr>
            <w:r>
              <w:rPr/>
              <w:t>Exhibit A-2</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pPr>
            <w:r>
              <w:rPr/>
              <w:t>Sell or Offer to Sell any Shares or Related Securities currently or hereafter owned either of record or beneficially (as defined in Rule 13d-3 under the Exchange Act) by the undersigned or such Family Member,</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pPr>
            <w:r>
              <w:rPr/>
              <w:t>enter into any Swap,</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pPr>
            <w:r>
              <w:rPr/>
              <w:t>make any demand for, or exercise any right with respect to, the registration under the Securities Act of the offer and sale of any Shares or Related Securities, or cause to be filed a registration statement, prospectus or prospectus supplement (or an amendment or supplement thereto) with respect to any such registration, or</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pPr>
            <w:r>
              <w:rPr/>
              <w:t>publicly announce any intention to do any of the foregoing.</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foregoing will not apply to the registration of the offer and sale of the Shares, and the sale of the Shares to the underwriters, in each case as contemplated by the Underwriting Agreement. In addition, the foregoing restrictions shall not apply to: (a) the transfer of Shares or Related Securities by gift to a Family Member or to a trust whose beneficiaries consist exclusively of one or more of the undersigned and/or a Family Member, or to a charitable organization as a bona fide gift or charitable contribution,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 such transfer is not for value, (ii) if required during the Lock-up Period, any public report or filing shall clearly indicate in the footnotes thereto that such transfer is being made pursuant to the circumstances described in this clause (a), and (iii) the undersigned does not otherwise voluntarily effect any other public filing or report regarding such transfers during the Lock-up Period; (b) the transfer of Shares or Related Securities by will or intestate succession to a Family Member or to a trust whose beneficiaries consist exclusively of one or more of the undersigned and/or a Family Member; </w:t>
      </w:r>
      <w:r>
        <w:rPr>
          <w:rFonts w:ascii="Times New Roman;Times;Serif" w:hAnsi="Times New Roman;Times;Serif"/>
          <w:b w:val="false"/>
          <w:i w:val="false"/>
          <w:caps w:val="false"/>
          <w:smallCaps w:val="false"/>
          <w:sz w:val="20"/>
          <w:shd w:fill="FFFFFF" w:val="clear"/>
        </w:rPr>
        <w:t xml:space="preserve">(c) the transfer of Shares or Related Securities by operation of law pursuant to a court order or settlement agreement related to the distribution of assets in connection with the dissolution of a marriage or civil union; (d) the entry into any trading plan established pursuant to Rule 10b5-1 of the Exchange Act, </w:t>
      </w:r>
      <w:r>
        <w:rPr>
          <w:rFonts w:ascii="Times New Roman;Times;Serif" w:hAnsi="Times New Roman;Times;Serif"/>
          <w:b w:val="false"/>
          <w:i/>
          <w:caps w:val="false"/>
          <w:smallCaps w:val="false"/>
          <w:sz w:val="20"/>
          <w:shd w:fill="FFFFFF" w:val="clear"/>
        </w:rPr>
        <w:t xml:space="preserve">provided </w:t>
      </w:r>
      <w:r>
        <w:rPr>
          <w:rFonts w:ascii="Times New Roman;Times;Serif" w:hAnsi="Times New Roman;Times;Serif"/>
          <w:b w:val="false"/>
          <w:i w:val="false"/>
          <w:caps w:val="false"/>
          <w:smallCaps w:val="false"/>
          <w:sz w:val="20"/>
          <w:shd w:fill="FFFFFF" w:val="clear"/>
        </w:rPr>
        <w:t xml:space="preserve">that (i) such plan does not permit dispositions or sales of Shares or any Related Securities during the Lock-up Period and (ii) to the extent a public announcement or filing under the Exchange Act, if any, is required by or on behalf of the undersigned or the Company regarding the establishment of such plan, such announcement or filing shall include a statement to the effect that no transfer of Shares or Related Securities may be made under such plan during the Lock-up Period; (e) the transfer of the undersigned’s Shares or Related Securities pursuant to a sale of or an offer to purchase 100% of the shares of the Company in a transaction approved by the Company, whether pursuant to a merger, tender offer or otherwise, to a third party or group of third parties, </w:t>
      </w:r>
      <w:r>
        <w:rPr>
          <w:rFonts w:ascii="Times New Roman;Times;Serif" w:hAnsi="Times New Roman;Times;Serif"/>
          <w:b w:val="false"/>
          <w:i/>
          <w:caps w:val="false"/>
          <w:smallCaps w:val="false"/>
          <w:sz w:val="20"/>
          <w:shd w:fill="FFFFFF" w:val="clear"/>
        </w:rPr>
        <w:t>provided</w:t>
      </w:r>
      <w:r>
        <w:rPr>
          <w:rFonts w:ascii="Times New Roman;Times;Serif" w:hAnsi="Times New Roman;Times;Serif"/>
          <w:b w:val="false"/>
          <w:i w:val="false"/>
          <w:caps w:val="false"/>
          <w:smallCaps w:val="false"/>
          <w:sz w:val="20"/>
          <w:shd w:fill="FFFFFF" w:val="clear"/>
        </w:rPr>
        <w:t xml:space="preserve"> that in the event that the merger, tender offer or other such transaction is not completed, the Shares and Related Securities owned by the undersigned shall remain subject to the restrictions contained in this letter agreement; and (f) if the undersigned is a non-individual, transfer of Shares or Related Securities to any affiliate (as such term is defined in Rule 405 of the Securities Act), limited partners, general partners, limited liability company members or stockholders of the undersigned, or, if the undersigned is a corporation, to any wholly owned subsidiary of such corporation, if, in </w:t>
      </w:r>
      <w:r>
        <w:rPr>
          <w:rFonts w:ascii="Times New Roman;Times;Serif" w:hAnsi="Times New Roman;Times;Serif"/>
          <w:b w:val="false"/>
          <w:i w:val="false"/>
          <w:caps w:val="false"/>
          <w:smallCaps w:val="false"/>
          <w:sz w:val="20"/>
        </w:rPr>
        <w:t>any such case, such transfer is not for value.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in the case of any transfer described in clauses (a), (b) and (f) above, it shall be a condition to such transfer that:</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283"/>
              <w:jc w:val="left"/>
              <w:rPr/>
            </w:pPr>
            <w:r>
              <w:rPr/>
              <w:t>each transferee executes and delivers to Representatives an agreement in form and substance satisfactory to Representatives stating that such transferee is receiving and holding such Shares and/or Related Securities subject to the provisions of this letter agreement and agrees not to Sell or Offer to Sell such Shares and/or Related Securities, engage in any Swap or engage in any other activities restricted under this letter agreement except in accordance with this letter agreement (as if such transferee had been an original signatory hereto), and</w:t>
            </w:r>
          </w:p>
        </w:tc>
      </w:tr>
    </w:tbl>
    <w:tbl>
      <w:tblPr>
        <w:tblW w:w="1175" w:type="dxa"/>
        <w:jc w:val="left"/>
        <w:tblInd w:w="0" w:type="dxa"/>
        <w:tblLayout w:type="fixed"/>
        <w:tblCellMar>
          <w:top w:w="0" w:type="dxa"/>
          <w:left w:w="0" w:type="dxa"/>
          <w:bottom w:w="0" w:type="dxa"/>
          <w:right w:w="0" w:type="dxa"/>
        </w:tblCellMar>
      </w:tblPr>
      <w:tblGrid>
        <w:gridCol w:w="1175"/>
      </w:tblGrid>
      <w:tr>
        <w:trPr/>
        <w:tc>
          <w:tcPr>
            <w:tcW w:w="1175" w:type="dxa"/>
            <w:tcBorders/>
            <w:vAlign w:val="center"/>
          </w:tcPr>
          <w:p>
            <w:pPr>
              <w:pStyle w:val="TableContents"/>
              <w:bidi w:val="0"/>
              <w:spacing w:before="0" w:after="283"/>
              <w:jc w:val="center"/>
              <w:rPr/>
            </w:pPr>
            <w:r>
              <w:rPr/>
              <w:t>Exhibit A-3</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283"/>
              <w:jc w:val="left"/>
              <w:rPr/>
            </w:pPr>
            <w:r>
              <w:rPr/>
              <w:t>except in the case of clause (a) above, prior to the expiration of the Lock-up Period, no public disclosure or filing under the Exchange Act by any party to the transfer (donor, donee, transferor or transferee) shall be required, or made voluntarily, reporting a reduction in beneficial ownership of Shares in connection with such transfer.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also agrees and consents to the entry of stop transfer instructions with the Company’s transfer agent and registrar against the transfer of Shares or Related Securities held by the undersigned and the undersigned’s Family Members, if any, except in compliance with the foregoing restrictions.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Offering only, the undersigned waives any registration rights relating to registration under the Securities Act of the offer and sale of any Shares and/or any Related Securities owned either of record or beneficially by the undersigned, including any rights to receive notice of the Offering.</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confirms that the undersigned has not, and has no knowledge that any Family Member has, directly or indirectly, taken any action designed to or that might reasonably be expected to cause or result in the stabilization or manipulation of the price of any security of the Company to facilitate the sale of the Shares. The undersigned will not, and will cause any Family Member not to take, directly or indirectly, any such action.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undersigned acknowledges and agrees that the underwriters have not provided any recommendation or investment advice nor have the underwriters solicited any action from the undersigned with respect to the Offering and the undersigned has consulted their own legal, accounting, financial, regulatory and tax advisors to the extent deemed appropriate. </w:t>
      </w:r>
      <w:r>
        <w:rPr>
          <w:rFonts w:ascii="Times New Roman;Times;Serif" w:hAnsi="Times New Roman;Times;Serif"/>
          <w:b w:val="false"/>
          <w:i w:val="false"/>
          <w:caps w:val="false"/>
          <w:smallCaps w:val="false"/>
          <w:sz w:val="20"/>
          <w:shd w:fill="FFFFFF" w:val="clear"/>
        </w:rPr>
        <w:t>The undersigned further acknowledges and agrees that, although the underwriters may be required or choose to provide certain disclosures to you under the Regulation Best Interest and Form CRS under the Securities Exchange Act of 1934 to you in connection with the Offering, the underwriters are not making a recommendation to you to enter into this letter agreement or participate in this Offering, and nothing set forth in such disclosures is intended to suggest that the underwriters are making such a recommendation.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or not the Offering occurs as currently contemplated or at all depends on market conditions and other factors. The Offering will only be made pursuant to the Underwriting Agreement, the terms of which are subject to negotiation between the Company and the underwriters.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represents and warrants that the undersigned has full power, capacity and authority to enter into this letter agreement. This letter agreement is irrevocable and will be binding on the undersigned and the successors, heirs, personal representatives and assigns of the undersigned.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This letter agreement will automatically terminate upon the earliest to occur, if any, of (a) the date the Company advises the Representatives in writing, prior to the execution of the Underwriting Agreement, that it has determined not to proceed with the Offering, (b) the date of the termination of the Underwriting Agreement if prior to the closing of the Offering and (c) June 30, 2026 if the Underwriting Agreement has not been executed and delivered by the Company by such date.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letter agreement shall be governed by, and construed in accordance with, the laws of the State of New York.</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This letter agreement may be delivered via facsimile, electronic mail (including pdf or any electronic signature complying with the U.S. federal ESIGN Act of 2000, e.g. www.docusign.com or www.echosign.com) or other transmission method and any counterpart so delivered shall be deemed to have been duly and validly delivered and be valid and effective for all purposes.</w:t>
      </w:r>
    </w:p>
    <w:tbl>
      <w:tblPr>
        <w:tblW w:w="1175" w:type="dxa"/>
        <w:jc w:val="left"/>
        <w:tblInd w:w="0" w:type="dxa"/>
        <w:tblLayout w:type="fixed"/>
        <w:tblCellMar>
          <w:top w:w="0" w:type="dxa"/>
          <w:left w:w="0" w:type="dxa"/>
          <w:bottom w:w="0" w:type="dxa"/>
          <w:right w:w="0" w:type="dxa"/>
        </w:tblCellMar>
      </w:tblPr>
      <w:tblGrid>
        <w:gridCol w:w="1175"/>
      </w:tblGrid>
      <w:tr>
        <w:trPr/>
        <w:tc>
          <w:tcPr>
            <w:tcW w:w="1175" w:type="dxa"/>
            <w:tcBorders/>
            <w:vAlign w:val="center"/>
          </w:tcPr>
          <w:p>
            <w:pPr>
              <w:pStyle w:val="TableContents"/>
              <w:bidi w:val="0"/>
              <w:spacing w:before="0" w:after="283"/>
              <w:jc w:val="center"/>
              <w:rPr/>
            </w:pPr>
            <w:r>
              <w:rPr/>
              <w:t>Exhibit A-4</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caps w:val="false"/>
          <w:smallCaps w:val="false"/>
        </w:rPr>
      </w:pPr>
      <w:r>
        <w:rPr>
          <w:caps w:val="false"/>
          <w:smallCaps w:val="false"/>
        </w:rPr>
        <w:t> </w:t>
      </w:r>
    </w:p>
    <w:p>
      <w:pPr>
        <w:pStyle w:val="TextBody"/>
        <w:bidi w:val="0"/>
        <w:jc w:val="left"/>
        <w:rPr>
          <w:bdr w:val="single" w:sz="2" w:space="1" w:color="000000"/>
        </w:rPr>
      </w:pPr>
      <w:r>
        <w:rPr>
          <w:bdr w:val="single" w:sz="2" w:space="1" w:color="000000"/>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jc w:val="left"/>
        <w:rPr>
          <w:bdr w:val="single" w:sz="2" w:space="1" w:color="000000"/>
        </w:rPr>
      </w:pPr>
      <w:r>
        <w:rPr>
          <w:bdr w:val="single" w:sz="2" w:space="1" w:color="000000"/>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Printed Name of Authorized Signatory</w:t>
      </w:r>
    </w:p>
    <w:tbl>
      <w:tblPr>
        <w:tblW w:w="1175" w:type="dxa"/>
        <w:jc w:val="left"/>
        <w:tblInd w:w="0" w:type="dxa"/>
        <w:tblLayout w:type="fixed"/>
        <w:tblCellMar>
          <w:top w:w="0" w:type="dxa"/>
          <w:left w:w="0" w:type="dxa"/>
          <w:bottom w:w="0" w:type="dxa"/>
          <w:right w:w="0" w:type="dxa"/>
        </w:tblCellMar>
      </w:tblPr>
      <w:tblGrid>
        <w:gridCol w:w="1175"/>
      </w:tblGrid>
      <w:tr>
        <w:trPr/>
        <w:tc>
          <w:tcPr>
            <w:tcW w:w="1175" w:type="dxa"/>
            <w:tcBorders/>
            <w:vAlign w:val="center"/>
          </w:tcPr>
          <w:p>
            <w:pPr>
              <w:pStyle w:val="TableContents"/>
              <w:bidi w:val="0"/>
              <w:spacing w:before="0" w:after="283"/>
              <w:jc w:val="center"/>
              <w:rPr/>
            </w:pPr>
            <w:r>
              <w:rPr/>
              <w:t>Exhibit A-5</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Defined Terms</w:t>
        <w:br/>
      </w:r>
      <w:r>
        <w:rPr>
          <w:rFonts w:ascii="Times New Roman;Times;Serif" w:hAnsi="Times New Roman;Times;Serif"/>
          <w:b/>
          <w:i w:val="false"/>
          <w:caps w:val="false"/>
          <w:smallCaps w:val="false"/>
          <w:sz w:val="20"/>
          <w:u w:val="single"/>
        </w:rPr>
        <w:t>Used in Lock-up Agreement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the letter agreement to which this Annex A is attached and of which it is made a part:</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pPr>
            <w:r>
              <w:rPr/>
              <w:t>“</w:t>
            </w:r>
            <w:r>
              <w:rPr>
                <w:b/>
              </w:rPr>
              <w:t>Call Equivalent Position</w:t>
            </w:r>
            <w:r>
              <w:rPr/>
              <w:t>” shall have the meaning set forth in Rule 16a-1(b) under the Exchange Act.</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pPr>
            <w:r>
              <w:rPr/>
              <w:t>“</w:t>
            </w:r>
            <w:r>
              <w:rPr>
                <w:b/>
              </w:rPr>
              <w:t>Exchange Act</w:t>
            </w:r>
            <w:r>
              <w:rPr/>
              <w:t>” shall mean the Securities Exchange Act of 1934, as amended.</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pPr>
            <w:r>
              <w:rPr/>
              <w:t>“</w:t>
            </w:r>
            <w:r>
              <w:rPr>
                <w:b/>
              </w:rPr>
              <w:t>Family Member</w:t>
            </w:r>
            <w:r>
              <w:rPr/>
              <w:t>” shall mean the spouse of the undersigned, an immediate family member of the undersigned or an immediate family member of the undersigned’s spouse, in each case living in the undersigned’s household or whose principal residence is the undersigned’s household (regardless of whether such spouse or family member may at the time be living elsewhere due to educational activities, health care treatment, military service, temporary internship or employment or otherwise). “</w:t>
            </w:r>
            <w:r>
              <w:rPr>
                <w:b/>
              </w:rPr>
              <w:t>Immediate family member</w:t>
            </w:r>
            <w:r>
              <w:rPr/>
              <w:t>” as used above shall have the meaning set forth in Rule 16a-1(e) under the Exchange Act.</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pPr>
            <w:r>
              <w:rPr/>
              <w:t>“</w:t>
            </w:r>
            <w:r>
              <w:rPr>
                <w:b/>
              </w:rPr>
              <w:t>Lock-up Period</w:t>
            </w:r>
            <w:r>
              <w:rPr/>
              <w:t>” shall mean the period beginning on the date hereof and continuing through the close of trading on the date that is 90 days after the date of the Prospectus (as defined in the Underwriting Agreement).</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pPr>
            <w:r>
              <w:rPr/>
              <w:t>“</w:t>
            </w:r>
            <w:r>
              <w:rPr>
                <w:b/>
              </w:rPr>
              <w:t>Put Equivalent Position</w:t>
            </w:r>
            <w:r>
              <w:rPr/>
              <w:t>” shall have the meaning set forth in Rule 16a-1(h) under the Exchange Act.</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pPr>
            <w:r>
              <w:rPr/>
              <w:t>“</w:t>
            </w:r>
            <w:r>
              <w:rPr>
                <w:b/>
              </w:rPr>
              <w:t>Related Securities</w:t>
            </w:r>
            <w:r>
              <w:rPr/>
              <w:t>” shall mean any options or warrants or other rights to acquire Shares or any securities exchangeable or exercisable for or convertible into Shares, or to acquire other securities or rights ultimately exchangeable or exercisable for or convertible into Shares.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pPr>
            <w:r>
              <w:rPr/>
              <w:t>“</w:t>
            </w:r>
            <w:r>
              <w:rPr>
                <w:b/>
              </w:rPr>
              <w:t>Securities Act</w:t>
            </w:r>
            <w:r>
              <w:rPr/>
              <w:t>” shall mean the Securities Act of 1933, as amended.</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pPr>
            <w:r>
              <w:rPr/>
              <w:t>“</w:t>
            </w:r>
            <w:r>
              <w:rPr>
                <w:b/>
              </w:rPr>
              <w:t>Sell or Offer to Sell</w:t>
            </w:r>
            <w:r>
              <w:rPr/>
              <w:t>” shall mean to:</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75"/>
        <w:gridCol w:w="140"/>
        <w:gridCol w:w="9990"/>
      </w:tblGrid>
      <w:tr>
        <w:trPr/>
        <w:tc>
          <w:tcPr>
            <w:tcW w:w="75"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9990" w:type="dxa"/>
            <w:tcBorders/>
            <w:vAlign w:val="center"/>
          </w:tcPr>
          <w:p>
            <w:pPr>
              <w:pStyle w:val="TableContents"/>
              <w:bidi w:val="0"/>
              <w:spacing w:before="0" w:after="283"/>
              <w:jc w:val="left"/>
              <w:rPr/>
            </w:pPr>
            <w:r>
              <w:rPr/>
              <w:t>sell, offer to sell, contract to sell or lend,</w:t>
            </w:r>
          </w:p>
        </w:tc>
      </w:tr>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99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9990" w:type="dxa"/>
            <w:tcBorders/>
            <w:vAlign w:val="center"/>
          </w:tcPr>
          <w:p>
            <w:pPr>
              <w:pStyle w:val="TableContents"/>
              <w:bidi w:val="0"/>
              <w:spacing w:before="0" w:after="283"/>
              <w:jc w:val="left"/>
              <w:rPr/>
            </w:pPr>
            <w:r>
              <w:rPr/>
              <w:t>effect any short sale or establish or increase a Put Equivalent Position or liquidate or decrease any Call Equivalent Position</w:t>
            </w:r>
          </w:p>
        </w:tc>
      </w:tr>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99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9990" w:type="dxa"/>
            <w:tcBorders/>
            <w:vAlign w:val="center"/>
          </w:tcPr>
          <w:p>
            <w:pPr>
              <w:pStyle w:val="TableContents"/>
              <w:bidi w:val="0"/>
              <w:spacing w:before="0" w:after="283"/>
              <w:jc w:val="left"/>
              <w:rPr/>
            </w:pPr>
            <w:r>
              <w:rPr/>
              <w:t>pledge, hypothecate or grant any security interest in, or</w:t>
            </w:r>
          </w:p>
        </w:tc>
      </w:tr>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99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9990" w:type="dxa"/>
            <w:tcBorders/>
            <w:vAlign w:val="center"/>
          </w:tcPr>
          <w:p>
            <w:pPr>
              <w:pStyle w:val="TableContents"/>
              <w:bidi w:val="0"/>
              <w:spacing w:before="0" w:after="283"/>
              <w:jc w:val="left"/>
              <w:rPr/>
            </w:pPr>
            <w:r>
              <w:rPr/>
              <w:t>in any other way transfer or dispose of,</w:t>
            </w:r>
          </w:p>
        </w:tc>
      </w:tr>
    </w:tbl>
    <w:p>
      <w:pPr>
        <w:pStyle w:val="TextBody"/>
        <w:bidi w:val="0"/>
        <w:spacing w:before="0" w:after="0"/>
        <w:ind w:left="720" w:right="0" w:firstLine="360"/>
        <w:jc w:val="left"/>
        <w:rPr>
          <w:caps w:val="false"/>
          <w:smallCaps w:val="false"/>
        </w:rPr>
      </w:pPr>
      <w:r>
        <w:rPr>
          <w:caps w:val="false"/>
          <w:smallCaps w:val="false"/>
        </w:rPr>
        <w:t> </w:t>
      </w:r>
    </w:p>
    <w:p>
      <w:pPr>
        <w:pStyle w:val="TextBody"/>
        <w:bidi w:val="0"/>
        <w:spacing w:before="0" w:after="0"/>
        <w:ind w:left="72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each case whether effected directly or indirectly.</w:t>
      </w:r>
    </w:p>
    <w:p>
      <w:pPr>
        <w:pStyle w:val="TextBody"/>
        <w:bidi w:val="0"/>
        <w:spacing w:before="0" w:after="0"/>
        <w:ind w:left="72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283"/>
              <w:jc w:val="left"/>
              <w:rPr/>
            </w:pPr>
            <w:r>
              <w:rPr/>
              <w:t>“</w:t>
            </w:r>
            <w:r>
              <w:rPr>
                <w:b/>
              </w:rPr>
              <w:t>Swap</w:t>
            </w:r>
            <w:r>
              <w:rPr/>
              <w:t>” shall mean any swap, hedge or similar arrangement or agreement that transfers, in whole or in part, the economic risk of ownership of Shares or Related Securities, regardless of whether any such transaction is to be settled in securities, in cash or otherwise.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Capitalized terms not defined in this Annex A shall have the meanings given to them in the body of this lock-up agreement.</w:t>
      </w:r>
    </w:p>
    <w:tbl>
      <w:tblPr>
        <w:tblW w:w="1175" w:type="dxa"/>
        <w:jc w:val="left"/>
        <w:tblInd w:w="0" w:type="dxa"/>
        <w:tblLayout w:type="fixed"/>
        <w:tblCellMar>
          <w:top w:w="0" w:type="dxa"/>
          <w:left w:w="0" w:type="dxa"/>
          <w:bottom w:w="0" w:type="dxa"/>
          <w:right w:w="0" w:type="dxa"/>
        </w:tblCellMar>
      </w:tblPr>
      <w:tblGrid>
        <w:gridCol w:w="1175"/>
      </w:tblGrid>
      <w:tr>
        <w:trPr/>
        <w:tc>
          <w:tcPr>
            <w:tcW w:w="1175" w:type="dxa"/>
            <w:tcBorders/>
            <w:vAlign w:val="center"/>
          </w:tcPr>
          <w:p>
            <w:pPr>
              <w:pStyle w:val="TableContents"/>
              <w:bidi w:val="0"/>
              <w:spacing w:before="0" w:after="283"/>
              <w:jc w:val="center"/>
              <w:rPr/>
            </w:pPr>
            <w:r>
              <w:rPr/>
              <w:t>Exhibit A-6</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B</w:t>
      </w:r>
    </w:p>
    <w:p>
      <w:pPr>
        <w:pStyle w:val="TextBody"/>
        <w:bidi w:val="0"/>
        <w:spacing w:before="0" w:after="0"/>
        <w:jc w:val="right"/>
        <w:rPr>
          <w:caps w:val="false"/>
          <w:smallCaps w:val="false"/>
        </w:rPr>
      </w:pPr>
      <w:r>
        <w:rPr>
          <w:caps w:val="false"/>
          <w:smallCaps w:val="false"/>
        </w:rPr>
        <w:t> </w:t>
      </w:r>
    </w:p>
    <w:tbl>
      <w:tblPr>
        <w:tblW w:w="2585" w:type="dxa"/>
        <w:jc w:val="center"/>
        <w:tblInd w:w="0" w:type="dxa"/>
        <w:tblLayout w:type="fixed"/>
        <w:tblCellMar>
          <w:top w:w="0" w:type="dxa"/>
          <w:left w:w="0" w:type="dxa"/>
          <w:bottom w:w="28" w:type="dxa"/>
          <w:right w:w="0" w:type="dxa"/>
        </w:tblCellMar>
      </w:tblPr>
      <w:tblGrid>
        <w:gridCol w:w="2585"/>
      </w:tblGrid>
      <w:tr>
        <w:trPr/>
        <w:tc>
          <w:tcPr>
            <w:tcW w:w="2585" w:type="dxa"/>
            <w:tcBorders>
              <w:bottom w:val="single" w:sz="2"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Directors, Officers and Others</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Signing Lock-up Agreement</w:t>
            </w:r>
          </w:p>
        </w:tc>
      </w:tr>
    </w:tbl>
    <w:tbl>
      <w:tblPr>
        <w:tblW w:w="1160" w:type="dxa"/>
        <w:jc w:val="left"/>
        <w:tblInd w:w="0" w:type="dxa"/>
        <w:tblLayout w:type="fixed"/>
        <w:tblCellMar>
          <w:top w:w="0" w:type="dxa"/>
          <w:left w:w="0" w:type="dxa"/>
          <w:bottom w:w="0" w:type="dxa"/>
          <w:right w:w="0" w:type="dxa"/>
        </w:tblCellMar>
      </w:tblPr>
      <w:tblGrid>
        <w:gridCol w:w="1160"/>
      </w:tblGrid>
      <w:tr>
        <w:trPr/>
        <w:tc>
          <w:tcPr>
            <w:tcW w:w="1160" w:type="dxa"/>
            <w:tcBorders/>
            <w:vAlign w:val="center"/>
          </w:tcPr>
          <w:p>
            <w:pPr>
              <w:pStyle w:val="TableContents"/>
              <w:bidi w:val="0"/>
              <w:spacing w:before="0" w:after="283"/>
              <w:jc w:val="center"/>
              <w:rPr/>
            </w:pPr>
            <w:r>
              <w:rPr/>
              <w:t>Exhibit B-1</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C</w:t>
      </w:r>
    </w:p>
    <w:p>
      <w:pPr>
        <w:pStyle w:val="TextBody"/>
        <w:bidi w:val="0"/>
        <w:spacing w:before="0" w:after="0"/>
        <w:jc w:val="righ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Alvotech</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Société anonyme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Registered office: 9, rue de Bitbourg</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L-1273 Luxembourg</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smallCaps/>
          <w:sz w:val="20"/>
        </w:rPr>
        <w:t>R.C.S. L</w:t>
      </w:r>
      <w:r>
        <w:rPr>
          <w:rFonts w:ascii="Times New Roman;Times;Serif" w:hAnsi="Times New Roman;Times;Serif"/>
          <w:b w:val="false"/>
          <w:i/>
          <w:caps w:val="false"/>
          <w:smallCaps w:val="false"/>
          <w:sz w:val="20"/>
        </w:rPr>
        <w:t>uxembourg:</w:t>
      </w:r>
      <w:r>
        <w:rPr>
          <w:rFonts w:ascii="Times New Roman;Times;Serif" w:hAnsi="Times New Roman;Times;Serif"/>
          <w:b w:val="false"/>
          <w:i/>
          <w:smallCaps/>
          <w:sz w:val="20"/>
        </w:rPr>
        <w:t xml:space="preserve"> B</w:t>
      </w:r>
      <w:r>
        <w:rPr>
          <w:rFonts w:ascii="Times New Roman;Times;Serif" w:hAnsi="Times New Roman;Times;Serif"/>
          <w:b w:val="false"/>
          <w:i/>
          <w:caps w:val="false"/>
          <w:smallCaps w:val="false"/>
          <w:sz w:val="20"/>
        </w:rPr>
        <w:t>258884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tbl>
      <w:tblPr>
        <w:tblW w:w="3575" w:type="dxa"/>
        <w:jc w:val="left"/>
        <w:tblInd w:w="0" w:type="dxa"/>
        <w:tblLayout w:type="fixed"/>
        <w:tblCellMar>
          <w:top w:w="300" w:type="dxa"/>
          <w:left w:w="0" w:type="dxa"/>
          <w:bottom w:w="300" w:type="dxa"/>
          <w:right w:w="0" w:type="dxa"/>
        </w:tblCellMar>
      </w:tblPr>
      <w:tblGrid>
        <w:gridCol w:w="3575"/>
      </w:tblGrid>
      <w:tr>
        <w:trPr/>
        <w:tc>
          <w:tcPr>
            <w:tcW w:w="3575" w:type="dxa"/>
            <w:tcBorders>
              <w:top w:val="single" w:sz="2" w:space="0" w:color="000000"/>
              <w:bottom w:val="single" w:sz="2" w:space="0" w:color="000000"/>
            </w:tcBorders>
            <w:vAlign w:val="center"/>
          </w:tcPr>
          <w:p>
            <w:pPr>
              <w:pStyle w:val="TableContents"/>
              <w:bidi w:val="0"/>
              <w:spacing w:before="0" w:after="283"/>
              <w:jc w:val="center"/>
              <w:rPr>
                <w:b/>
              </w:rPr>
            </w:pPr>
            <w:r>
              <w:rPr>
                <w:b/>
              </w:rPr>
              <w:t>SHARE SUBSCRIPTION FORM</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 xml:space="preserve">a </w:t>
      </w:r>
      <w:r>
        <w:rPr>
          <w:rFonts w:ascii="Times New Roman;Times;Serif" w:hAnsi="Times New Roman;Times;Serif"/>
          <w:b/>
          <w:i w:val="false"/>
          <w:caps w:val="false"/>
          <w:smallCaps w:val="false"/>
          <w:sz w:val="20"/>
        </w:rPr>
        <w:t>[form of company]</w:t>
      </w:r>
      <w:r>
        <w:rPr>
          <w:rFonts w:ascii="Times New Roman;Times;Serif" w:hAnsi="Times New Roman;Times;Serif"/>
          <w:b w:val="false"/>
          <w:i w:val="false"/>
          <w:caps w:val="false"/>
          <w:smallCaps w:val="false"/>
          <w:sz w:val="20"/>
        </w:rPr>
        <w:t xml:space="preserve"> existing under the laws of </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registered with </w:t>
      </w:r>
      <w:r>
        <w:rPr>
          <w:rFonts w:ascii="Times New Roman;Times;Serif" w:hAnsi="Times New Roman;Times;Serif"/>
          <w:b/>
          <w:i w:val="false"/>
          <w:caps w:val="false"/>
          <w:smallCaps w:val="false"/>
          <w:sz w:val="20"/>
        </w:rPr>
        <w:t>[name of the registration authority]</w:t>
      </w:r>
      <w:r>
        <w:rPr>
          <w:rFonts w:ascii="Times New Roman;Times;Serif" w:hAnsi="Times New Roman;Times;Serif"/>
          <w:b w:val="false"/>
          <w:i w:val="false"/>
          <w:caps w:val="false"/>
          <w:smallCaps w:val="false"/>
          <w:sz w:val="20"/>
        </w:rPr>
        <w:t xml:space="preserve"> under number </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having its registered office at </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hereby expressly and irrevocably subscribes for </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new ordinary shares of the Company, each having a nominal value of one US cent (USD 0.01) (the “</w:t>
      </w:r>
      <w:r>
        <w:rPr>
          <w:rFonts w:ascii="Times New Roman;Times;Serif" w:hAnsi="Times New Roman;Times;Serif"/>
          <w:b/>
          <w:i w:val="false"/>
          <w:caps w:val="false"/>
          <w:smallCaps w:val="false"/>
          <w:sz w:val="20"/>
        </w:rPr>
        <w:t>New Shares</w:t>
      </w:r>
      <w:r>
        <w:rPr>
          <w:rFonts w:ascii="Times New Roman;Times;Serif" w:hAnsi="Times New Roman;Times;Serif"/>
          <w:b w:val="false"/>
          <w:i w:val="false"/>
          <w:caps w:val="false"/>
          <w:smallCaps w:val="false"/>
          <w:sz w:val="20"/>
        </w:rPr>
        <w:t>”), to be issued to the undersigned by the board of directors of the Company under the authorized capital of the Company at the subscription price of one US cent (USD 0.01) per New Share (the “</w:t>
      </w:r>
      <w:r>
        <w:rPr>
          <w:rFonts w:ascii="Times New Roman;Times;Serif" w:hAnsi="Times New Roman;Times;Serif"/>
          <w:b/>
          <w:i w:val="false"/>
          <w:caps w:val="false"/>
          <w:smallCaps w:val="false"/>
          <w:sz w:val="20"/>
        </w:rPr>
        <w:t>Subscription Price</w:t>
      </w:r>
      <w:r>
        <w:rPr>
          <w:rFonts w:ascii="Times New Roman;Times;Serif" w:hAnsi="Times New Roman;Times;Serif"/>
          <w:b w:val="false"/>
          <w:i w:val="false"/>
          <w:caps w:val="false"/>
          <w:smallCaps w:val="false"/>
          <w:sz w:val="20"/>
        </w:rPr>
        <w:t>”), with effect as of a notarial deed of acknowledgment to be drawn up by a Luxembourg notary.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subscription form shall be governed by and construed in accordance with the laws of the Grand Duchy of Luxembourg. The parties irrevocably agree that any disputes arising out of or in connection with this proxy shall be submitted exclusively to the courts of the city of Luxembourg, Grand Duchy of Luxembourg.</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Given on _________________ 2026.</w:t>
      </w:r>
    </w:p>
    <w:p>
      <w:pPr>
        <w:pStyle w:val="TextBody"/>
        <w:bidi w:val="0"/>
        <w:spacing w:before="0" w:after="0"/>
        <w:jc w:val="left"/>
        <w:rPr>
          <w:caps w:val="false"/>
          <w:smallCaps w:val="false"/>
        </w:rPr>
      </w:pPr>
      <w:r>
        <w:rPr>
          <w:caps w:val="false"/>
          <w:smallCaps w:val="false"/>
        </w:rPr>
        <w:t> </w:t>
      </w:r>
    </w:p>
    <w:p>
      <w:pPr>
        <w:pStyle w:val="TextBody"/>
        <w:bidi w:val="0"/>
        <w:spacing w:before="0" w:after="60"/>
        <w:jc w:val="left"/>
        <w:rPr>
          <w:bdr w:val="single" w:sz="2" w:space="1" w:color="000000"/>
        </w:rPr>
      </w:pPr>
      <w:r>
        <w:rPr>
          <w:bdr w:val="single" w:sz="2" w:space="1" w:color="000000"/>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bl>
      <w:tblPr>
        <w:tblW w:w="1160" w:type="dxa"/>
        <w:jc w:val="left"/>
        <w:tblInd w:w="0" w:type="dxa"/>
        <w:tblLayout w:type="fixed"/>
        <w:tblCellMar>
          <w:top w:w="0" w:type="dxa"/>
          <w:left w:w="0" w:type="dxa"/>
          <w:bottom w:w="0" w:type="dxa"/>
          <w:right w:w="0" w:type="dxa"/>
        </w:tblCellMar>
      </w:tblPr>
      <w:tblGrid>
        <w:gridCol w:w="1160"/>
      </w:tblGrid>
      <w:tr>
        <w:trPr/>
        <w:tc>
          <w:tcPr>
            <w:tcW w:w="1160" w:type="dxa"/>
            <w:tcBorders/>
            <w:vAlign w:val="center"/>
          </w:tcPr>
          <w:p>
            <w:pPr>
              <w:pStyle w:val="TableContents"/>
              <w:bidi w:val="0"/>
              <w:spacing w:before="0" w:after="283"/>
              <w:jc w:val="center"/>
              <w:rPr/>
            </w:pPr>
            <w:r>
              <w:rPr/>
              <w:t>Exhibit B-1</w:t>
            </w:r>
          </w:p>
        </w:tc>
      </w:tr>
    </w:tbl>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4" w:name="c116686_ex5-1.htm"/>
      <w:bookmarkStart w:id="5" w:name="ksc116686_ex51"/>
      <w:bookmarkEnd w:id="4"/>
      <w:bookmarkEnd w:id="5"/>
      <w:r>
        <w:rPr>
          <w:rFonts w:ascii="Times New Roman;Times;Serif" w:hAnsi="Times New Roman;Times;Serif"/>
          <w:b/>
          <w:i w:val="false"/>
          <w:caps w:val="false"/>
          <w:smallCaps w:val="false"/>
          <w:sz w:val="20"/>
        </w:rPr>
        <w:t>Exhibit 5.1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lineRule="auto" w:line="268" w:before="1440" w:after="280"/>
        <w:ind w:left="4820" w:right="144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To </w:t>
      </w:r>
      <w:bookmarkStart w:id="6" w:name="a_Hlk99121181"/>
      <w:bookmarkEnd w:id="6"/>
      <w:r>
        <w:rPr>
          <w:rFonts w:ascii="Arial;Helvetica;Sans-Serif" w:hAnsi="Arial;Helvetica;Sans-Serif"/>
          <w:b w:val="false"/>
          <w:i w:val="false"/>
          <w:caps w:val="false"/>
          <w:smallCaps w:val="false"/>
          <w:sz w:val="20"/>
        </w:rPr>
        <w:br/>
      </w:r>
      <w:r>
        <w:rPr>
          <w:rFonts w:ascii="Arial;Helvetica;Sans-Serif" w:hAnsi="Arial;Helvetica;Sans-Serif"/>
          <w:b/>
          <w:i w:val="false"/>
          <w:caps w:val="false"/>
          <w:smallCaps w:val="false"/>
          <w:sz w:val="20"/>
        </w:rPr>
        <w:t>Alvotech</w:t>
      </w:r>
      <w:r>
        <w:rPr>
          <w:rFonts w:ascii="Arial;Helvetica;Sans-Serif" w:hAnsi="Arial;Helvetica;Sans-Serif"/>
          <w:b w:val="false"/>
          <w:i w:val="false"/>
          <w:caps w:val="false"/>
          <w:smallCaps w:val="false"/>
          <w:sz w:val="20"/>
        </w:rPr>
        <w:br/>
        <w:t>9, rue de Bitbourg,</w:t>
        <w:br/>
        <w:t>L - 1273 Luxembourg,</w:t>
        <w:br/>
        <w:t>Grand Duchy of Luxembourg</w:t>
        <w:br/>
        <w:t>(the “</w:t>
      </w:r>
      <w:r>
        <w:rPr>
          <w:rFonts w:ascii="Arial;Helvetica;Sans-Serif" w:hAnsi="Arial;Helvetica;Sans-Serif"/>
          <w:b/>
          <w:i w:val="false"/>
          <w:caps w:val="false"/>
          <w:smallCaps w:val="false"/>
          <w:sz w:val="20"/>
        </w:rPr>
        <w:t>Company</w:t>
      </w:r>
      <w:r>
        <w:rPr>
          <w:rFonts w:ascii="Arial;Helvetica;Sans-Serif" w:hAnsi="Arial;Helvetica;Sans-Serif"/>
          <w:b w:val="false"/>
          <w:i w:val="false"/>
          <w:caps w:val="false"/>
          <w:smallCaps w:val="false"/>
          <w:sz w:val="20"/>
        </w:rPr>
        <w:t>”)</w:t>
      </w:r>
    </w:p>
    <w:p>
      <w:pPr>
        <w:pStyle w:val="TextBody"/>
        <w:bidi w:val="0"/>
        <w:spacing w:lineRule="auto" w:line="268" w:before="280" w:after="280"/>
        <w:ind w:left="4820" w:right="28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Luxembourg, 16 June 2026</w:t>
      </w:r>
    </w:p>
    <w:p>
      <w:pPr>
        <w:pStyle w:val="TextBody"/>
        <w:bidi w:val="0"/>
        <w:spacing w:lineRule="auto" w:line="268" w:before="280" w:after="280"/>
        <w:ind w:left="280" w:right="280" w:hanging="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AO/YBA – 016843-70024.46114630v4</w:t>
      </w:r>
    </w:p>
    <w:p>
      <w:pPr>
        <w:pStyle w:val="TextBody"/>
        <w:bidi w:val="0"/>
        <w:spacing w:lineRule="auto" w:line="268"/>
        <w:jc w:val="both"/>
        <w:rPr>
          <w:rFonts w:ascii="Arial;Helvetica;Sans-Serif" w:hAnsi="Arial;Helvetica;Sans-Serif"/>
          <w:b/>
          <w:i w:val="false"/>
          <w:caps w:val="false"/>
          <w:smallCaps w:val="false"/>
          <w:sz w:val="20"/>
        </w:rPr>
      </w:pPr>
      <w:bookmarkStart w:id="7" w:name="swiBeginHere"/>
      <w:bookmarkEnd w:id="7"/>
      <w:r>
        <w:rPr>
          <w:rFonts w:ascii="Arial;Helvetica;Sans-Serif" w:hAnsi="Arial;Helvetica;Sans-Serif"/>
          <w:b/>
          <w:i w:val="false"/>
          <w:caps w:val="false"/>
          <w:smallCaps w:val="false"/>
          <w:sz w:val="20"/>
        </w:rPr>
        <w:t>Alvotech – Prospectus Supplement</w:t>
      </w:r>
    </w:p>
    <w:p>
      <w:pPr>
        <w:pStyle w:val="TextBody"/>
        <w:bidi w:val="0"/>
        <w:spacing w:lineRule="auto" w:line="268"/>
        <w:jc w:val="both"/>
        <w:rPr>
          <w:caps w:val="false"/>
          <w:smallCaps w:val="false"/>
        </w:rPr>
      </w:pPr>
      <w:r>
        <w:rPr>
          <w:caps w:val="false"/>
          <w:smallCaps w:val="false"/>
        </w:rPr>
        <w:t> </w:t>
      </w:r>
    </w:p>
    <w:p>
      <w:pPr>
        <w:pStyle w:val="TextBody"/>
        <w:bidi w:val="0"/>
        <w:spacing w:lineRule="auto" w:line="268"/>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Dear Madam, dear Sir,</w:t>
      </w:r>
    </w:p>
    <w:p>
      <w:pPr>
        <w:pStyle w:val="TextBody"/>
        <w:bidi w:val="0"/>
        <w:spacing w:lineRule="auto" w:line="268" w:before="280" w:after="280"/>
        <w:ind w:left="280" w:right="28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We have acted as Luxembourg legal advisers to </w:t>
      </w:r>
      <w:r>
        <w:rPr>
          <w:rFonts w:ascii="Arial;Helvetica;Sans-Serif" w:hAnsi="Arial;Helvetica;Sans-Serif"/>
          <w:b/>
          <w:i w:val="false"/>
          <w:caps w:val="false"/>
          <w:smallCaps w:val="false"/>
          <w:sz w:val="20"/>
        </w:rPr>
        <w:t>Alvotech</w:t>
      </w:r>
      <w:r>
        <w:rPr>
          <w:rFonts w:ascii="Arial;Helvetica;Sans-Serif" w:hAnsi="Arial;Helvetica;Sans-Serif"/>
          <w:b w:val="false"/>
          <w:i w:val="false"/>
          <w:caps w:val="false"/>
          <w:smallCaps w:val="false"/>
          <w:sz w:val="20"/>
        </w:rPr>
        <w:t xml:space="preserve">, a company existing under the laws of the Grand Duchy of Luxembourg as a </w:t>
      </w:r>
      <w:r>
        <w:rPr>
          <w:rFonts w:ascii="Arial;Helvetica;Sans-Serif" w:hAnsi="Arial;Helvetica;Sans-Serif"/>
          <w:b w:val="false"/>
          <w:i/>
          <w:caps w:val="false"/>
          <w:smallCaps w:val="false"/>
          <w:sz w:val="20"/>
        </w:rPr>
        <w:t xml:space="preserve">société anonyme </w:t>
      </w:r>
      <w:r>
        <w:rPr>
          <w:rFonts w:ascii="Arial;Helvetica;Sans-Serif" w:hAnsi="Arial;Helvetica;Sans-Serif"/>
          <w:b w:val="false"/>
          <w:i w:val="false"/>
          <w:caps w:val="false"/>
          <w:smallCaps w:val="false"/>
          <w:sz w:val="20"/>
        </w:rPr>
        <w:t xml:space="preserve">(formerly a </w:t>
      </w:r>
      <w:r>
        <w:rPr>
          <w:rFonts w:ascii="Arial;Helvetica;Sans-Serif" w:hAnsi="Arial;Helvetica;Sans-Serif"/>
          <w:b w:val="false"/>
          <w:i/>
          <w:caps w:val="false"/>
          <w:smallCaps w:val="false"/>
          <w:sz w:val="20"/>
        </w:rPr>
        <w:t>société par actions simplifiée)</w:t>
      </w:r>
      <w:r>
        <w:rPr>
          <w:rFonts w:ascii="Arial;Helvetica;Sans-Serif" w:hAnsi="Arial;Helvetica;Sans-Serif"/>
          <w:b w:val="false"/>
          <w:i w:val="false"/>
          <w:caps w:val="false"/>
          <w:smallCaps w:val="false"/>
          <w:sz w:val="20"/>
        </w:rPr>
        <w:t>, with its registered office at 9, rue de Bitbourg, L-1273 Luxembourg, Grand Duchy of Luxembourg, and registered with the Luxembourg Register of Commerce and Companies (</w:t>
      </w:r>
      <w:r>
        <w:rPr>
          <w:rFonts w:ascii="Arial;Helvetica;Sans-Serif" w:hAnsi="Arial;Helvetica;Sans-Serif"/>
          <w:b w:val="false"/>
          <w:i/>
          <w:caps w:val="false"/>
          <w:smallCaps w:val="false"/>
          <w:sz w:val="20"/>
        </w:rPr>
        <w:t>Registre de Commerce et des Sociétés à Luxembourg</w:t>
      </w:r>
      <w:r>
        <w:rPr>
          <w:rFonts w:ascii="Arial;Helvetica;Sans-Serif" w:hAnsi="Arial;Helvetica;Sans-Serif"/>
          <w:b w:val="false"/>
          <w:i w:val="false"/>
          <w:caps w:val="false"/>
          <w:smallCaps w:val="false"/>
          <w:sz w:val="20"/>
        </w:rPr>
        <w:t>) (the “</w:t>
      </w:r>
      <w:r>
        <w:rPr>
          <w:rFonts w:ascii="Arial;Helvetica;Sans-Serif" w:hAnsi="Arial;Helvetica;Sans-Serif"/>
          <w:b/>
          <w:i w:val="false"/>
          <w:caps w:val="false"/>
          <w:smallCaps w:val="false"/>
          <w:sz w:val="20"/>
        </w:rPr>
        <w:t>RCS</w:t>
      </w:r>
      <w:r>
        <w:rPr>
          <w:rFonts w:ascii="Arial;Helvetica;Sans-Serif" w:hAnsi="Arial;Helvetica;Sans-Serif"/>
          <w:b w:val="false"/>
          <w:i w:val="false"/>
          <w:caps w:val="false"/>
          <w:smallCaps w:val="false"/>
          <w:sz w:val="20"/>
        </w:rPr>
        <w:t xml:space="preserve">”) under number B 258884 in connection with the filing of a prospectus supplement </w:t>
      </w:r>
      <w:r>
        <w:rPr>
          <w:rFonts w:ascii="Arial;Helvetica;Sans-Serif" w:hAnsi="Arial;Helvetica;Sans-Serif"/>
          <w:b w:val="false"/>
          <w:i w:val="false"/>
          <w:caps w:val="false"/>
          <w:smallCaps w:val="false"/>
          <w:sz w:val="20"/>
          <w:shd w:fill="FFFFFF" w:val="clear"/>
        </w:rPr>
        <w:t>(the “</w:t>
      </w:r>
      <w:r>
        <w:rPr>
          <w:rFonts w:ascii="Arial;Helvetica;Sans-Serif" w:hAnsi="Arial;Helvetica;Sans-Serif"/>
          <w:b/>
          <w:i w:val="false"/>
          <w:caps w:val="false"/>
          <w:smallCaps w:val="false"/>
          <w:sz w:val="20"/>
          <w:shd w:fill="FFFFFF" w:val="clear"/>
        </w:rPr>
        <w:t>Prospectus Supplement</w:t>
      </w:r>
      <w:r>
        <w:rPr>
          <w:rFonts w:ascii="Arial;Helvetica;Sans-Serif" w:hAnsi="Arial;Helvetica;Sans-Serif"/>
          <w:b w:val="false"/>
          <w:i w:val="false"/>
          <w:caps w:val="false"/>
          <w:smallCaps w:val="false"/>
          <w:sz w:val="20"/>
          <w:shd w:fill="FFFFFF" w:val="clear"/>
        </w:rPr>
        <w:t xml:space="preserve">”) with </w:t>
      </w:r>
      <w:r>
        <w:rPr>
          <w:rFonts w:ascii="Arial;Helvetica;Sans-Serif" w:hAnsi="Arial;Helvetica;Sans-Serif"/>
          <w:b w:val="false"/>
          <w:i w:val="false"/>
          <w:caps w:val="false"/>
          <w:smallCaps w:val="false"/>
          <w:sz w:val="20"/>
        </w:rPr>
        <w:t>the U.S. Securities and Exchange Commission</w:t>
      </w:r>
      <w:r>
        <w:rPr>
          <w:rFonts w:ascii="Arial;Helvetica;Sans-Serif" w:hAnsi="Arial;Helvetica;Sans-Serif"/>
          <w:b w:val="false"/>
          <w:i w:val="false"/>
          <w:caps w:val="false"/>
          <w:smallCaps w:val="false"/>
          <w:sz w:val="20"/>
          <w:shd w:fill="FFFFFF" w:val="clear"/>
        </w:rPr>
        <w:t>. The Prospectus Supplement supplements a prospectus contained in a registration statement on Form F-3 that the Company filed with the U.S. Securities and Exchange Commission on 20 October 2023 (the “</w:t>
      </w:r>
      <w:r>
        <w:rPr>
          <w:rFonts w:ascii="Arial;Helvetica;Sans-Serif" w:hAnsi="Arial;Helvetica;Sans-Serif"/>
          <w:b/>
          <w:i w:val="false"/>
          <w:caps w:val="false"/>
          <w:smallCaps w:val="false"/>
          <w:sz w:val="20"/>
          <w:shd w:fill="FFFFFF" w:val="clear"/>
        </w:rPr>
        <w:t>Registration Statement</w:t>
      </w:r>
      <w:r>
        <w:rPr>
          <w:rFonts w:ascii="Arial;Helvetica;Sans-Serif" w:hAnsi="Arial;Helvetica;Sans-Serif"/>
          <w:b w:val="false"/>
          <w:i w:val="false"/>
          <w:caps w:val="false"/>
          <w:smallCaps w:val="false"/>
          <w:sz w:val="20"/>
          <w:shd w:fill="FFFFFF" w:val="clear"/>
        </w:rPr>
        <w:t>”). </w:t>
      </w:r>
    </w:p>
    <w:p>
      <w:pPr>
        <w:pStyle w:val="TextBody"/>
        <w:bidi w:val="0"/>
        <w:spacing w:lineRule="auto" w:line="268" w:before="280" w:after="280"/>
        <w:ind w:left="280" w:right="28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shd w:fill="FFFFFF" w:val="clear"/>
        </w:rPr>
        <w:t>The Registration Statement  relates to the proposed offer and sale by the Company from time to time, as set forth therein and as shall be set forth in one or more supplements to the prospectus, of an aggregate initial offering price of up to $100,000,000, of any or all of the following instruments to be issued in the form of securities and covered by the Registration Statement: (a) ordinary shares of the Company with a nominal value of $0.01 per share (the “</w:t>
      </w:r>
      <w:r>
        <w:rPr>
          <w:rFonts w:ascii="Arial;Helvetica;Sans-Serif" w:hAnsi="Arial;Helvetica;Sans-Serif"/>
          <w:b/>
          <w:i w:val="false"/>
          <w:caps w:val="false"/>
          <w:smallCaps w:val="false"/>
          <w:sz w:val="20"/>
        </w:rPr>
        <w:t>Ordinary</w:t>
      </w:r>
      <w:r>
        <w:rPr>
          <w:rFonts w:ascii="Arial;Helvetica;Sans-Serif" w:hAnsi="Arial;Helvetica;Sans-Serif"/>
          <w:b w:val="false"/>
          <w:i w:val="false"/>
          <w:caps w:val="false"/>
          <w:smallCaps w:val="false"/>
          <w:sz w:val="20"/>
          <w:shd w:fill="FFFFFF" w:val="clear"/>
        </w:rPr>
        <w:t> </w:t>
      </w:r>
      <w:r>
        <w:rPr>
          <w:rFonts w:ascii="Arial;Helvetica;Sans-Serif" w:hAnsi="Arial;Helvetica;Sans-Serif"/>
          <w:b/>
          <w:i w:val="false"/>
          <w:caps w:val="false"/>
          <w:smallCaps w:val="false"/>
          <w:sz w:val="20"/>
        </w:rPr>
        <w:t>Shares</w:t>
      </w:r>
      <w:r>
        <w:rPr>
          <w:rFonts w:ascii="Arial;Helvetica;Sans-Serif" w:hAnsi="Arial;Helvetica;Sans-Serif"/>
          <w:b w:val="false"/>
          <w:i w:val="false"/>
          <w:caps w:val="false"/>
          <w:smallCaps w:val="false"/>
          <w:sz w:val="20"/>
          <w:shd w:fill="FFFFFF" w:val="clear"/>
        </w:rPr>
        <w:t>”); (b) debt securities of the Company; (c) rights to purchase any of the Company’s securities or any combination thereof; (d) warrants to purchase Ordinary Shares; and (e) units comprising any combination of Ordinary Shares, warrants, debt securities and/or rights (together, the "</w:t>
      </w:r>
      <w:r>
        <w:rPr>
          <w:rFonts w:ascii="Arial;Helvetica;Sans-Serif" w:hAnsi="Arial;Helvetica;Sans-Serif"/>
          <w:b/>
          <w:i w:val="false"/>
          <w:caps w:val="false"/>
          <w:smallCaps w:val="false"/>
          <w:sz w:val="20"/>
          <w:shd w:fill="FFFFFF" w:val="clear"/>
        </w:rPr>
        <w:t>Securities</w:t>
      </w:r>
      <w:r>
        <w:rPr>
          <w:rFonts w:ascii="Arial;Helvetica;Sans-Serif" w:hAnsi="Arial;Helvetica;Sans-Serif"/>
          <w:b w:val="false"/>
          <w:i w:val="false"/>
          <w:caps w:val="false"/>
          <w:smallCaps w:val="false"/>
          <w:sz w:val="20"/>
          <w:shd w:fill="FFFFFF" w:val="clear"/>
        </w:rPr>
        <w:t>").</w:t>
      </w:r>
    </w:p>
    <w:p>
      <w:pPr>
        <w:pStyle w:val="TextBody"/>
        <w:bidi w:val="0"/>
        <w:spacing w:lineRule="auto" w:line="268" w:before="280" w:after="280"/>
        <w:ind w:left="280" w:right="280" w:hanging="0"/>
        <w:jc w:val="both"/>
        <w:rPr>
          <w:rFonts w:ascii="Arial;Helvetica;Sans-Serif" w:hAnsi="Arial;Helvetica;Sans-Serif"/>
          <w:b w:val="false"/>
          <w:i w:val="false"/>
          <w:caps w:val="false"/>
          <w:smallCaps w:val="false"/>
          <w:sz w:val="20"/>
          <w:shd w:fill="FFFFFF" w:val="clear"/>
        </w:rPr>
      </w:pPr>
      <w:r>
        <w:rPr>
          <w:rFonts w:ascii="Arial;Helvetica;Sans-Serif" w:hAnsi="Arial;Helvetica;Sans-Serif"/>
          <w:b w:val="false"/>
          <w:i w:val="false"/>
          <w:caps w:val="false"/>
          <w:smallCaps w:val="false"/>
          <w:sz w:val="20"/>
          <w:shd w:fill="FFFFFF" w:val="clear"/>
        </w:rPr>
        <w:t>The Prospectus Supplement relates to the offering and issuance by the Company of 22,666,667 Ordinary Shares, as well as the option for certain underwriters to purchase up to 3,400,000 additional Ordinary Shares (together, the “</w:t>
      </w:r>
      <w:r>
        <w:rPr>
          <w:rFonts w:ascii="Arial;Helvetica;Sans-Serif" w:hAnsi="Arial;Helvetica;Sans-Serif"/>
          <w:b/>
          <w:i w:val="false"/>
          <w:caps w:val="false"/>
          <w:smallCaps w:val="false"/>
          <w:sz w:val="20"/>
          <w:shd w:fill="FFFFFF" w:val="clear"/>
        </w:rPr>
        <w:t>Offered Shares</w:t>
      </w:r>
      <w:r>
        <w:rPr>
          <w:rFonts w:ascii="Arial;Helvetica;Sans-Serif" w:hAnsi="Arial;Helvetica;Sans-Serif"/>
          <w:b w:val="false"/>
          <w:i w:val="false"/>
          <w:caps w:val="false"/>
          <w:smallCaps w:val="false"/>
          <w:sz w:val="20"/>
          <w:shd w:fill="FFFFFF" w:val="clear"/>
        </w:rPr>
        <w:t>”), in accordance with the terms and conditions of an underwriting agreement entered into on 15 June 2026 between (i) the Company and (ii) BofA Securities, Inc., Jefferies LLC and Evercore Group L.L.C. acting individually and as representatives of the underwriters named therein (the “</w:t>
      </w:r>
      <w:r>
        <w:rPr>
          <w:rFonts w:ascii="Arial;Helvetica;Sans-Serif" w:hAnsi="Arial;Helvetica;Sans-Serif"/>
          <w:b/>
          <w:i w:val="false"/>
          <w:caps w:val="false"/>
          <w:smallCaps w:val="false"/>
          <w:sz w:val="20"/>
          <w:shd w:fill="FFFFFF" w:val="clear"/>
        </w:rPr>
        <w:t>Underwriting Agreement</w:t>
      </w:r>
      <w:r>
        <w:rPr>
          <w:rFonts w:ascii="Arial;Helvetica;Sans-Serif" w:hAnsi="Arial;Helvetica;Sans-Serif"/>
          <w:b w:val="false"/>
          <w:i w:val="false"/>
          <w:caps w:val="false"/>
          <w:smallCaps w:val="false"/>
          <w:sz w:val="20"/>
          <w:shd w:fill="FFFFFF" w:val="clear"/>
        </w:rPr>
        <w:t>”).</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0" w:type="dxa"/>
          <w:left w:w="0" w:type="dxa"/>
          <w:bottom w:w="0" w:type="dxa"/>
          <w:right w:w="0" w:type="dxa"/>
        </w:tblCellMar>
      </w:tblPr>
      <w:tblGrid>
        <w:gridCol w:w="444"/>
        <w:gridCol w:w="2337"/>
        <w:gridCol w:w="7424"/>
      </w:tblGrid>
      <w:tr>
        <w:trPr/>
        <w:tc>
          <w:tcPr>
            <w:tcW w:w="444" w:type="dxa"/>
            <w:tcBorders/>
            <w:vAlign w:val="center"/>
          </w:tcPr>
          <w:p>
            <w:pPr>
              <w:pStyle w:val="TableContents"/>
              <w:bidi w:val="0"/>
              <w:spacing w:before="0" w:after="283"/>
              <w:jc w:val="left"/>
              <w:rPr>
                <w:sz w:val="4"/>
                <w:szCs w:val="4"/>
              </w:rPr>
            </w:pPr>
            <w:r>
              <w:rPr>
                <w:sz w:val="4"/>
                <w:szCs w:val="4"/>
              </w:rPr>
            </w:r>
          </w:p>
        </w:tc>
        <w:tc>
          <w:tcPr>
            <w:tcW w:w="2337" w:type="dxa"/>
            <w:tcBorders/>
            <w:vAlign w:val="center"/>
          </w:tcPr>
          <w:p>
            <w:pPr>
              <w:pStyle w:val="TableContents"/>
              <w:bidi w:val="0"/>
              <w:spacing w:before="0" w:after="283"/>
              <w:jc w:val="left"/>
              <w:rPr>
                <w:b/>
              </w:rPr>
            </w:pPr>
            <w:r>
              <w:rPr>
                <w:b/>
              </w:rPr>
              <w:t>1.</w:t>
            </w:r>
          </w:p>
        </w:tc>
        <w:tc>
          <w:tcPr>
            <w:tcW w:w="7424" w:type="dxa"/>
            <w:tcBorders/>
            <w:vAlign w:val="center"/>
          </w:tcPr>
          <w:p>
            <w:pPr>
              <w:pStyle w:val="TableContents"/>
              <w:bidi w:val="0"/>
              <w:spacing w:before="0" w:after="283"/>
              <w:jc w:val="both"/>
              <w:rPr>
                <w:b/>
              </w:rPr>
            </w:pPr>
            <w:r>
              <w:rPr>
                <w:b/>
              </w:rPr>
              <w:t>Scope</w:t>
            </w:r>
          </w:p>
        </w:tc>
      </w:tr>
    </w:tbl>
    <w:tbl>
      <w:tblPr>
        <w:tblW w:w="5000" w:type="pct"/>
        <w:jc w:val="left"/>
        <w:tblInd w:w="0" w:type="dxa"/>
        <w:tblLayout w:type="fixed"/>
        <w:tblCellMar>
          <w:top w:w="0" w:type="dxa"/>
          <w:left w:w="0" w:type="dxa"/>
          <w:bottom w:w="0" w:type="dxa"/>
          <w:right w:w="0" w:type="dxa"/>
        </w:tblCellMar>
      </w:tblPr>
      <w:tblGrid>
        <w:gridCol w:w="37"/>
        <w:gridCol w:w="357"/>
        <w:gridCol w:w="9811"/>
      </w:tblGrid>
      <w:tr>
        <w:trPr/>
        <w:tc>
          <w:tcPr>
            <w:tcW w:w="3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pPr>
            <w:r>
              <w:rPr/>
              <w:t>1.1.</w:t>
            </w:r>
          </w:p>
        </w:tc>
        <w:tc>
          <w:tcPr>
            <w:tcW w:w="9811" w:type="dxa"/>
            <w:tcBorders/>
            <w:vAlign w:val="center"/>
          </w:tcPr>
          <w:p>
            <w:pPr>
              <w:pStyle w:val="TableContents"/>
              <w:bidi w:val="0"/>
              <w:spacing w:before="0" w:after="283"/>
              <w:jc w:val="both"/>
              <w:rPr/>
            </w:pPr>
            <w:r>
              <w:rPr/>
              <w:t>In arriving at the opinions expressed below, we have examined and relied exclusively on the documents (the “</w:t>
            </w:r>
            <w:r>
              <w:rPr>
                <w:b/>
              </w:rPr>
              <w:t>Documents</w:t>
            </w:r>
            <w:r>
              <w:rPr/>
              <w:t xml:space="preserve">”) identified in </w:t>
            </w:r>
            <w:r>
              <w:rPr>
                <w:u w:val="single"/>
              </w:rPr>
              <w:t>Appendix A</w:t>
            </w:r>
            <w:r>
              <w:rPr/>
              <w:t xml:space="preserve"> hereto.</w:t>
            </w:r>
          </w:p>
        </w:tc>
      </w:tr>
    </w:tbl>
    <w:tbl>
      <w:tblPr>
        <w:tblW w:w="5000" w:type="pct"/>
        <w:jc w:val="left"/>
        <w:tblInd w:w="0" w:type="dxa"/>
        <w:tblLayout w:type="fixed"/>
        <w:tblCellMar>
          <w:top w:w="0" w:type="dxa"/>
          <w:left w:w="0" w:type="dxa"/>
          <w:bottom w:w="0" w:type="dxa"/>
          <w:right w:w="0" w:type="dxa"/>
        </w:tblCellMar>
      </w:tblPr>
      <w:tblGrid>
        <w:gridCol w:w="37"/>
        <w:gridCol w:w="328"/>
        <w:gridCol w:w="9840"/>
      </w:tblGrid>
      <w:tr>
        <w:trPr/>
        <w:tc>
          <w:tcPr>
            <w:tcW w:w="37"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pPr>
            <w:bookmarkStart w:id="8" w:name="a_Ref76043337"/>
            <w:bookmarkEnd w:id="8"/>
            <w:r>
              <w:rPr/>
              <w:t>1.2.</w:t>
            </w:r>
          </w:p>
        </w:tc>
        <w:tc>
          <w:tcPr>
            <w:tcW w:w="9840" w:type="dxa"/>
            <w:tcBorders/>
            <w:vAlign w:val="center"/>
          </w:tcPr>
          <w:p>
            <w:pPr>
              <w:pStyle w:val="TableContents"/>
              <w:bidi w:val="0"/>
              <w:spacing w:before="0" w:after="283"/>
              <w:jc w:val="both"/>
              <w:rPr/>
            </w:pPr>
            <w:r>
              <w:rPr/>
              <w:t xml:space="preserve">We express no opinion with respect to any laws, rules or regulations other than Luxembourg law. We express no opinion </w:t>
            </w:r>
            <w:bookmarkStart w:id="9" w:name="DocXTextRef14"/>
            <w:bookmarkEnd w:id="9"/>
            <w:r>
              <w:rPr/>
              <w:t xml:space="preserve">(a) on public international law or on the rules promulgated under any treaty or by any treaty organisation or on any accounting, criminal, data protection or tax laws, rules or regulations of any jurisdiction (including Luxembourg) or </w:t>
            </w:r>
            <w:bookmarkStart w:id="10" w:name="DocXTextRef15"/>
            <w:bookmarkEnd w:id="10"/>
            <w:r>
              <w:rPr/>
              <w:t>(b) with respect to the effect of any laws, rules or regulations other than Luxembourg law even in cases where, under Luxembourg law, a foreign law, rule or regulation should be applied, and we therefore assume that no provisions of any foreign laws, rules or regulations affect, qualify or have any bearing on this Opinion.</w:t>
            </w:r>
          </w:p>
        </w:tc>
      </w:tr>
    </w:tbl>
    <w:tbl>
      <w:tblPr>
        <w:tblW w:w="5000" w:type="pct"/>
        <w:jc w:val="left"/>
        <w:tblInd w:w="0" w:type="dxa"/>
        <w:tblLayout w:type="fixed"/>
        <w:tblCellMar>
          <w:top w:w="0" w:type="dxa"/>
          <w:left w:w="0" w:type="dxa"/>
          <w:bottom w:w="0" w:type="dxa"/>
          <w:right w:w="0" w:type="dxa"/>
        </w:tblCellMar>
      </w:tblPr>
      <w:tblGrid>
        <w:gridCol w:w="37"/>
        <w:gridCol w:w="355"/>
        <w:gridCol w:w="9813"/>
      </w:tblGrid>
      <w:tr>
        <w:trPr/>
        <w:tc>
          <w:tcPr>
            <w:tcW w:w="37"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pPr>
            <w:r>
              <w:rPr/>
              <w:t>1.3.</w:t>
            </w:r>
          </w:p>
        </w:tc>
        <w:tc>
          <w:tcPr>
            <w:tcW w:w="9813" w:type="dxa"/>
            <w:tcBorders/>
            <w:vAlign w:val="center"/>
          </w:tcPr>
          <w:p>
            <w:pPr>
              <w:pStyle w:val="TableContents"/>
              <w:bidi w:val="0"/>
              <w:spacing w:before="0" w:after="283"/>
              <w:jc w:val="both"/>
              <w:rPr/>
            </w:pPr>
            <w:r>
              <w:rPr/>
              <w:t>A reference to a convention, law, rule or regulation in this Opinion is to be construed as a reference to such convention, law, rule or regulation as amended or re-enacted.</w:t>
            </w:r>
          </w:p>
        </w:tc>
      </w:tr>
    </w:tbl>
    <w:tbl>
      <w:tblPr>
        <w:tblW w:w="5000" w:type="pct"/>
        <w:jc w:val="left"/>
        <w:tblInd w:w="0" w:type="dxa"/>
        <w:tblLayout w:type="fixed"/>
        <w:tblCellMar>
          <w:top w:w="0" w:type="dxa"/>
          <w:left w:w="0" w:type="dxa"/>
          <w:bottom w:w="0" w:type="dxa"/>
          <w:right w:w="0" w:type="dxa"/>
        </w:tblCellMar>
      </w:tblPr>
      <w:tblGrid>
        <w:gridCol w:w="245"/>
        <w:gridCol w:w="1294"/>
        <w:gridCol w:w="8666"/>
      </w:tblGrid>
      <w:tr>
        <w:trPr/>
        <w:tc>
          <w:tcPr>
            <w:tcW w:w="245"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b/>
              </w:rPr>
            </w:pPr>
            <w:bookmarkStart w:id="11" w:name="a_Ref99117126"/>
            <w:bookmarkEnd w:id="11"/>
            <w:r>
              <w:rPr>
                <w:b/>
              </w:rPr>
              <w:t>2.</w:t>
            </w:r>
          </w:p>
        </w:tc>
        <w:tc>
          <w:tcPr>
            <w:tcW w:w="8666" w:type="dxa"/>
            <w:tcBorders/>
            <w:vAlign w:val="center"/>
          </w:tcPr>
          <w:p>
            <w:pPr>
              <w:pStyle w:val="TableContents"/>
              <w:bidi w:val="0"/>
              <w:spacing w:before="0" w:after="283"/>
              <w:jc w:val="both"/>
              <w:rPr>
                <w:b/>
              </w:rPr>
            </w:pPr>
            <w:r>
              <w:rPr>
                <w:b/>
              </w:rPr>
              <w:t>Assumptions</w:t>
            </w:r>
          </w:p>
        </w:tc>
      </w:tr>
    </w:tbl>
    <w:p>
      <w:pPr>
        <w:pStyle w:val="TextBody"/>
        <w:bidi w:val="0"/>
        <w:spacing w:lineRule="auto" w:line="268" w:before="280" w:after="280"/>
        <w:ind w:left="280" w:right="28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For the purpose of this Opinion, we have assumed, and we have not verified independently:</w:t>
      </w:r>
    </w:p>
    <w:tbl>
      <w:tblPr>
        <w:tblW w:w="5000" w:type="pct"/>
        <w:jc w:val="left"/>
        <w:tblInd w:w="0" w:type="dxa"/>
        <w:tblLayout w:type="fixed"/>
        <w:tblCellMar>
          <w:top w:w="0" w:type="dxa"/>
          <w:left w:w="0" w:type="dxa"/>
          <w:bottom w:w="0" w:type="dxa"/>
          <w:right w:w="0" w:type="dxa"/>
        </w:tblCellMar>
      </w:tblPr>
      <w:tblGrid>
        <w:gridCol w:w="37"/>
        <w:gridCol w:w="343"/>
        <w:gridCol w:w="9825"/>
      </w:tblGrid>
      <w:tr>
        <w:trPr/>
        <w:tc>
          <w:tcPr>
            <w:tcW w:w="37"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lineRule="auto" w:line="268" w:before="0" w:after="283"/>
              <w:jc w:val="left"/>
              <w:rPr/>
            </w:pPr>
            <w:r>
              <w:rPr/>
              <w:t>2.1.</w:t>
            </w:r>
          </w:p>
        </w:tc>
        <w:tc>
          <w:tcPr>
            <w:tcW w:w="9825" w:type="dxa"/>
            <w:tcBorders/>
            <w:vAlign w:val="center"/>
          </w:tcPr>
          <w:p>
            <w:pPr>
              <w:pStyle w:val="TableContents"/>
              <w:bidi w:val="0"/>
              <w:spacing w:before="0" w:after="283"/>
              <w:jc w:val="both"/>
              <w:rPr/>
            </w:pPr>
            <w:r>
              <w:rPr/>
              <w:t>that each signature (whether manuscript or electronic) is the genuine signature of the individual concerned and was affixed or inserted by such individual concerned or authorized to be inserted in the relevant document by the individual concerned;</w:t>
            </w:r>
          </w:p>
        </w:tc>
      </w:tr>
    </w:tbl>
    <w:tbl>
      <w:tblPr>
        <w:tblW w:w="5000" w:type="pct"/>
        <w:jc w:val="left"/>
        <w:tblInd w:w="0" w:type="dxa"/>
        <w:tblLayout w:type="fixed"/>
        <w:tblCellMar>
          <w:top w:w="0" w:type="dxa"/>
          <w:left w:w="0" w:type="dxa"/>
          <w:bottom w:w="0" w:type="dxa"/>
          <w:right w:w="0" w:type="dxa"/>
        </w:tblCellMar>
      </w:tblPr>
      <w:tblGrid>
        <w:gridCol w:w="37"/>
        <w:gridCol w:w="333"/>
        <w:gridCol w:w="9835"/>
      </w:tblGrid>
      <w:tr>
        <w:trPr/>
        <w:tc>
          <w:tcPr>
            <w:tcW w:w="37"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lineRule="auto" w:line="268" w:before="0" w:after="283"/>
              <w:jc w:val="left"/>
              <w:rPr/>
            </w:pPr>
            <w:r>
              <w:rPr/>
              <w:t>2.2.</w:t>
            </w:r>
          </w:p>
        </w:tc>
        <w:tc>
          <w:tcPr>
            <w:tcW w:w="9835" w:type="dxa"/>
            <w:tcBorders/>
            <w:vAlign w:val="center"/>
          </w:tcPr>
          <w:p>
            <w:pPr>
              <w:pStyle w:val="TableContents"/>
              <w:bidi w:val="0"/>
              <w:spacing w:lineRule="auto" w:line="268" w:before="0" w:after="283"/>
              <w:jc w:val="both"/>
              <w:rPr/>
            </w:pPr>
            <w:r>
              <w:rPr/>
              <w:t>the completeness and conformity to originals of all Documents supplied to us as drafts, certified, photostatic, scanned, electronically transmitted copies or other copies of the documents reviewed and the authenticity of the originals of such documents and the conformity to originals of the latest drafts reviewed by us and the completeness and correctness of the representations and statements made therein;</w:t>
            </w:r>
          </w:p>
        </w:tc>
      </w:tr>
    </w:tbl>
    <w:tbl>
      <w:tblPr>
        <w:tblW w:w="5000" w:type="pct"/>
        <w:jc w:val="left"/>
        <w:tblInd w:w="0" w:type="dxa"/>
        <w:tblLayout w:type="fixed"/>
        <w:tblCellMar>
          <w:top w:w="0" w:type="dxa"/>
          <w:left w:w="0" w:type="dxa"/>
          <w:bottom w:w="0" w:type="dxa"/>
          <w:right w:w="0" w:type="dxa"/>
        </w:tblCellMar>
      </w:tblPr>
      <w:tblGrid>
        <w:gridCol w:w="37"/>
        <w:gridCol w:w="343"/>
        <w:gridCol w:w="9825"/>
      </w:tblGrid>
      <w:tr>
        <w:trPr/>
        <w:tc>
          <w:tcPr>
            <w:tcW w:w="37"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pPr>
            <w:bookmarkStart w:id="12" w:name="a_Hlk177492955"/>
            <w:bookmarkEnd w:id="12"/>
            <w:r>
              <w:rPr/>
              <w:t>2.3.</w:t>
            </w:r>
          </w:p>
        </w:tc>
        <w:tc>
          <w:tcPr>
            <w:tcW w:w="9825" w:type="dxa"/>
            <w:tcBorders/>
            <w:vAlign w:val="center"/>
          </w:tcPr>
          <w:p>
            <w:pPr>
              <w:pStyle w:val="TableContents"/>
              <w:bidi w:val="0"/>
              <w:spacing w:before="0" w:after="283"/>
              <w:jc w:val="both"/>
              <w:rPr/>
            </w:pPr>
            <w:r>
              <w:rPr/>
              <w:t>that there have been no amendments to the Documents in the form delivered to us for the purpose of this Opinion, and there will be none prior to their execution to the extent provided in draft form, which would have a bearing on the present opinion;</w:t>
            </w:r>
          </w:p>
        </w:tc>
      </w:tr>
    </w:tbl>
    <w:tbl>
      <w:tblPr>
        <w:tblW w:w="5000" w:type="pct"/>
        <w:jc w:val="left"/>
        <w:tblInd w:w="0" w:type="dxa"/>
        <w:tblLayout w:type="fixed"/>
        <w:tblCellMar>
          <w:top w:w="0" w:type="dxa"/>
          <w:left w:w="0" w:type="dxa"/>
          <w:bottom w:w="0" w:type="dxa"/>
          <w:right w:w="0" w:type="dxa"/>
        </w:tblCellMar>
      </w:tblPr>
      <w:tblGrid>
        <w:gridCol w:w="37"/>
        <w:gridCol w:w="336"/>
        <w:gridCol w:w="9832"/>
      </w:tblGrid>
      <w:tr>
        <w:trPr/>
        <w:tc>
          <w:tcPr>
            <w:tcW w:w="37"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lineRule="auto" w:line="268" w:before="0" w:after="283"/>
              <w:jc w:val="left"/>
              <w:rPr/>
            </w:pPr>
            <w:bookmarkStart w:id="13" w:name="a_Ref76043347"/>
            <w:bookmarkEnd w:id="13"/>
            <w:r>
              <w:rPr/>
              <w:t>2.4.</w:t>
            </w:r>
          </w:p>
        </w:tc>
        <w:tc>
          <w:tcPr>
            <w:tcW w:w="9832" w:type="dxa"/>
            <w:tcBorders/>
            <w:vAlign w:val="center"/>
          </w:tcPr>
          <w:p>
            <w:pPr>
              <w:pStyle w:val="TableContents"/>
              <w:bidi w:val="0"/>
              <w:spacing w:lineRule="auto" w:line="268" w:before="0" w:after="283"/>
              <w:jc w:val="both"/>
              <w:rPr/>
            </w:pPr>
            <w:r>
              <w:rPr/>
              <w:t xml:space="preserve">that (a) each of the Documents is true, complete, up-to-date, in full force and effect and has not been rescinded, supplemented or amended in any way since its respective date; </w:t>
            </w:r>
            <w:bookmarkStart w:id="14" w:name="DocXTextRef36"/>
            <w:bookmarkEnd w:id="14"/>
            <w:r>
              <w:rPr/>
              <w:t xml:space="preserve">(b) no other corporate document exists which would affect, qualify or have any bearing on this Opinion; and </w:t>
            </w:r>
            <w:bookmarkStart w:id="15" w:name="DocXTextRef37"/>
            <w:bookmarkEnd w:id="15"/>
            <w:r>
              <w:rPr/>
              <w:t>(c) each statement contained in the Documents is true and correct;</w:t>
            </w:r>
          </w:p>
        </w:tc>
      </w:tr>
    </w:tbl>
    <w:tbl>
      <w:tblPr>
        <w:tblW w:w="5000" w:type="pct"/>
        <w:jc w:val="left"/>
        <w:tblInd w:w="0" w:type="dxa"/>
        <w:tblLayout w:type="fixed"/>
        <w:tblCellMar>
          <w:top w:w="0" w:type="dxa"/>
          <w:left w:w="0" w:type="dxa"/>
          <w:bottom w:w="0" w:type="dxa"/>
          <w:right w:w="0" w:type="dxa"/>
        </w:tblCellMar>
      </w:tblPr>
      <w:tblGrid>
        <w:gridCol w:w="37"/>
        <w:gridCol w:w="332"/>
        <w:gridCol w:w="9836"/>
      </w:tblGrid>
      <w:tr>
        <w:trPr/>
        <w:tc>
          <w:tcPr>
            <w:tcW w:w="37"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lineRule="auto" w:line="268" w:before="0" w:after="283"/>
              <w:jc w:val="left"/>
              <w:rPr/>
            </w:pPr>
            <w:r>
              <w:rPr/>
              <w:t>2.5.</w:t>
            </w:r>
          </w:p>
        </w:tc>
        <w:tc>
          <w:tcPr>
            <w:tcW w:w="9836" w:type="dxa"/>
            <w:tcBorders/>
            <w:vAlign w:val="center"/>
          </w:tcPr>
          <w:p>
            <w:pPr>
              <w:pStyle w:val="TableContents"/>
              <w:bidi w:val="0"/>
              <w:spacing w:before="0" w:after="283"/>
              <w:jc w:val="both"/>
              <w:rPr/>
            </w:pPr>
            <w:r>
              <w:rPr/>
              <w:t xml:space="preserve">that </w:t>
            </w:r>
            <w:bookmarkStart w:id="16" w:name="DocXTextRef38"/>
            <w:bookmarkEnd w:id="16"/>
            <w:r>
              <w:rPr/>
              <w:t xml:space="preserve">on the date of this Opinion and at the time of issuance, allocation or sale (as applicable) of the Offered Shares (a) each resolution of the board of directors of the Company was properly adopted as reflected in the Resolutions; (b) the meetings of the board of directors of the Company were properly convened for the purpose of adopting the resolutions of the board of directors; and </w:t>
            </w:r>
            <w:bookmarkStart w:id="17" w:name="DocXTextRef40"/>
            <w:bookmarkEnd w:id="17"/>
            <w:r>
              <w:rPr/>
              <w:t>(c) each director has properly performed his or her duties;</w:t>
            </w:r>
          </w:p>
        </w:tc>
      </w:tr>
    </w:tbl>
    <w:tbl>
      <w:tblPr>
        <w:tblW w:w="5000" w:type="pct"/>
        <w:jc w:val="left"/>
        <w:tblInd w:w="0" w:type="dxa"/>
        <w:tblLayout w:type="fixed"/>
        <w:tblCellMar>
          <w:top w:w="0" w:type="dxa"/>
          <w:left w:w="0" w:type="dxa"/>
          <w:bottom w:w="0" w:type="dxa"/>
          <w:right w:w="0" w:type="dxa"/>
        </w:tblCellMar>
      </w:tblPr>
      <w:tblGrid>
        <w:gridCol w:w="37"/>
        <w:gridCol w:w="328"/>
        <w:gridCol w:w="9840"/>
      </w:tblGrid>
      <w:tr>
        <w:trPr/>
        <w:tc>
          <w:tcPr>
            <w:tcW w:w="37"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pPr>
            <w:r>
              <w:rPr/>
              <w:t>2.6.</w:t>
            </w:r>
          </w:p>
        </w:tc>
        <w:tc>
          <w:tcPr>
            <w:tcW w:w="9840" w:type="dxa"/>
            <w:tcBorders/>
            <w:vAlign w:val="center"/>
          </w:tcPr>
          <w:p>
            <w:pPr>
              <w:pStyle w:val="TableContents"/>
              <w:bidi w:val="0"/>
              <w:spacing w:lineRule="auto" w:line="268" w:before="0" w:after="283"/>
              <w:jc w:val="both"/>
              <w:rPr/>
            </w:pPr>
            <w:r>
              <w:rPr/>
              <w:t>that at the time of issuance, allocation or sale (as applicable) of the Offered Shares there is no other resolution, decision, agreement or undertaking and no other arrangement (whether legally binding or not) which renders any of the Documents, or information reviewed or provided to us inaccurate, incomplete or misleading or which affects the conclusions stated in this Opinion and that the Documents reviewed accurately record the whole of the terms agreed between the parties thereto relevant to this Opinion and the information therein is true and correct as of the date hereof and at the time of issuance, allocation or sale (as applicable) of the Offered Shares;</w:t>
            </w:r>
          </w:p>
        </w:tc>
      </w:tr>
    </w:tbl>
    <w:p>
      <w:pPr>
        <w:pStyle w:val="TextBody"/>
        <w:bidi w:val="0"/>
        <w:spacing w:lineRule="auto" w:line="268"/>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2/7</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0" w:type="dxa"/>
          <w:left w:w="0" w:type="dxa"/>
          <w:bottom w:w="0" w:type="dxa"/>
          <w:right w:w="0" w:type="dxa"/>
        </w:tblCellMar>
      </w:tblPr>
      <w:tblGrid>
        <w:gridCol w:w="37"/>
        <w:gridCol w:w="334"/>
        <w:gridCol w:w="9834"/>
      </w:tblGrid>
      <w:tr>
        <w:trPr/>
        <w:tc>
          <w:tcPr>
            <w:tcW w:w="37"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lineRule="auto" w:line="268" w:before="0" w:after="283"/>
              <w:jc w:val="left"/>
              <w:rPr/>
            </w:pPr>
            <w:bookmarkStart w:id="18" w:name="a_Ref76043365"/>
            <w:bookmarkEnd w:id="18"/>
            <w:r>
              <w:rPr/>
              <w:t>2.7.</w:t>
            </w:r>
          </w:p>
        </w:tc>
        <w:tc>
          <w:tcPr>
            <w:tcW w:w="9834" w:type="dxa"/>
            <w:tcBorders/>
            <w:vAlign w:val="center"/>
          </w:tcPr>
          <w:p>
            <w:pPr>
              <w:pStyle w:val="TableContents"/>
              <w:bidi w:val="0"/>
              <w:spacing w:lineRule="auto" w:line="268" w:before="0" w:after="283"/>
              <w:jc w:val="both"/>
              <w:rPr/>
            </w:pPr>
            <w:r>
              <w:rPr/>
              <w:t>that all approvals, authorisations, clearances, consents, filings or licenses, orders or registrations required from any governmental, public, regulatory or other agencies, authorities, bodies or other persons outside Luxembourg have been obtained or fulfilled and are and will remain in full force and effect at the time of issuance, allocation or sale (as applicable) of the Offered Shares;</w:t>
            </w:r>
            <w:bookmarkStart w:id="19" w:name="a_Ref76043349"/>
            <w:bookmarkEnd w:id="19"/>
          </w:p>
        </w:tc>
      </w:tr>
    </w:tbl>
    <w:tbl>
      <w:tblPr>
        <w:tblW w:w="5000" w:type="pct"/>
        <w:jc w:val="left"/>
        <w:tblInd w:w="0" w:type="dxa"/>
        <w:tblLayout w:type="fixed"/>
        <w:tblCellMar>
          <w:top w:w="0" w:type="dxa"/>
          <w:left w:w="0" w:type="dxa"/>
          <w:bottom w:w="0" w:type="dxa"/>
          <w:right w:w="0" w:type="dxa"/>
        </w:tblCellMar>
      </w:tblPr>
      <w:tblGrid>
        <w:gridCol w:w="37"/>
        <w:gridCol w:w="325"/>
        <w:gridCol w:w="9843"/>
      </w:tblGrid>
      <w:tr>
        <w:trPr/>
        <w:tc>
          <w:tcPr>
            <w:tcW w:w="37"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pPr>
            <w:r>
              <w:rPr/>
              <w:t>2.8.</w:t>
            </w:r>
          </w:p>
        </w:tc>
        <w:tc>
          <w:tcPr>
            <w:tcW w:w="9843" w:type="dxa"/>
            <w:tcBorders/>
            <w:vAlign w:val="center"/>
          </w:tcPr>
          <w:p>
            <w:pPr>
              <w:pStyle w:val="TableContents"/>
              <w:bidi w:val="0"/>
              <w:spacing w:lineRule="auto" w:line="268" w:before="0" w:after="283"/>
              <w:jc w:val="both"/>
              <w:rPr/>
            </w:pPr>
            <w:r>
              <w:rPr/>
              <w:t>that at the time of issuance, allocation or sale (as applicable) of Offered Shares, the Company does not meet the criteria for the commencement of any insolvency proceedings such as administrative dissolution without liquidation (</w:t>
            </w:r>
            <w:r>
              <w:rPr>
                <w:i/>
              </w:rPr>
              <w:t>dissolution administrative sans liquidation</w:t>
            </w:r>
            <w:r>
              <w:rPr/>
              <w:t>), bankruptcy (</w:t>
            </w:r>
            <w:r>
              <w:rPr>
                <w:i/>
              </w:rPr>
              <w:t>faillite</w:t>
            </w:r>
            <w:r>
              <w:rPr/>
              <w:t>), insolvency, winding-up, liquidation, moratorium, suspension of payment (</w:t>
            </w:r>
            <w:r>
              <w:rPr>
                <w:i/>
              </w:rPr>
              <w:t>sursis de paiement)</w:t>
            </w:r>
            <w:r>
              <w:rPr/>
              <w:t>, conciliation (</w:t>
            </w:r>
            <w:r>
              <w:rPr>
                <w:i/>
              </w:rPr>
              <w:t>conciliation</w:t>
            </w:r>
            <w:r>
              <w:rPr/>
              <w:t>), reorganisation procedure in the form of a mutual agreement (</w:t>
            </w:r>
            <w:r>
              <w:rPr>
                <w:i/>
              </w:rPr>
              <w:t>réorganisation par accord amiable</w:t>
            </w:r>
            <w:r>
              <w:rPr/>
              <w:t>), judicial reorganisation proceedings in the form of a mutual agreement (</w:t>
            </w:r>
            <w:r>
              <w:rPr>
                <w:i/>
              </w:rPr>
              <w:t>réorganisation judiciaire par accord amiable</w:t>
            </w:r>
            <w:r>
              <w:rPr/>
              <w:t>), a collective agreement (</w:t>
            </w:r>
            <w:r>
              <w:rPr>
                <w:i/>
              </w:rPr>
              <w:t>réorganisation judiciaire par accord collectif</w:t>
            </w:r>
            <w:r>
              <w:rPr/>
              <w:t>) or a transfer by court order (</w:t>
            </w:r>
            <w:r>
              <w:rPr>
                <w:i/>
              </w:rPr>
              <w:t>réorganisation judiciaire par transfert par décision de justice</w:t>
            </w:r>
            <w:r>
              <w:rPr/>
              <w:t>), fraudulent conveyance, general settlement with creditors, reorganisation or similar measures, orders or proceedings affecting the rights of creditors generally;</w:t>
            </w:r>
          </w:p>
        </w:tc>
      </w:tr>
    </w:tbl>
    <w:p>
      <w:pPr>
        <w:pStyle w:val="TextBody"/>
        <w:bidi w:val="0"/>
        <w:spacing w:lineRule="auto" w:line="268" w:before="280" w:after="280"/>
        <w:ind w:left="567" w:right="280" w:hanging="567"/>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2.9.      that Company will have the issuance of the Offered Shares and the resulting amendment of the articles of association acknowledged by a Luxembourg notary in accordance with Luxembourg law;</w:t>
      </w:r>
    </w:p>
    <w:p>
      <w:pPr>
        <w:pStyle w:val="TextBody"/>
        <w:bidi w:val="0"/>
        <w:spacing w:lineRule="auto" w:line="268" w:before="280" w:after="280"/>
        <w:ind w:left="567" w:right="280" w:hanging="567"/>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2.10.   that there will be no amendment to the authorised share capital of the Company which would adversely affect the issuance of the Offered Shares and the conclusions stated in this Opinion;</w:t>
      </w:r>
    </w:p>
    <w:tbl>
      <w:tblPr>
        <w:tblW w:w="5000" w:type="pct"/>
        <w:jc w:val="left"/>
        <w:tblInd w:w="0" w:type="dxa"/>
        <w:tblLayout w:type="fixed"/>
        <w:tblCellMar>
          <w:top w:w="0" w:type="dxa"/>
          <w:left w:w="0" w:type="dxa"/>
          <w:bottom w:w="0" w:type="dxa"/>
          <w:right w:w="0" w:type="dxa"/>
        </w:tblCellMar>
      </w:tblPr>
      <w:tblGrid>
        <w:gridCol w:w="37"/>
        <w:gridCol w:w="458"/>
        <w:gridCol w:w="9710"/>
      </w:tblGrid>
      <w:tr>
        <w:trPr/>
        <w:tc>
          <w:tcPr>
            <w:tcW w:w="37"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lineRule="auto" w:line="268" w:before="0" w:after="283"/>
              <w:jc w:val="left"/>
              <w:rPr/>
            </w:pPr>
            <w:r>
              <w:rPr/>
              <w:t>2.11.</w:t>
            </w:r>
          </w:p>
        </w:tc>
        <w:tc>
          <w:tcPr>
            <w:tcW w:w="9710" w:type="dxa"/>
            <w:tcBorders/>
            <w:vAlign w:val="center"/>
          </w:tcPr>
          <w:p>
            <w:pPr>
              <w:pStyle w:val="TableContents"/>
              <w:bidi w:val="0"/>
              <w:spacing w:before="0" w:after="283"/>
              <w:jc w:val="both"/>
              <w:rPr/>
            </w:pPr>
            <w:r>
              <w:rPr/>
              <w:t>that all steps outside Luxembourg and requirements outside Luxembourg affecting the legality, validity, binding effect and enforceability of the Documents (and the transactions contemplated therein) and that all conditions to which the transactions under the Documents are subject have been satisfied;</w:t>
            </w:r>
          </w:p>
        </w:tc>
      </w:tr>
    </w:tbl>
    <w:tbl>
      <w:tblPr>
        <w:tblW w:w="5000" w:type="pct"/>
        <w:jc w:val="left"/>
        <w:tblInd w:w="0" w:type="dxa"/>
        <w:tblLayout w:type="fixed"/>
        <w:tblCellMar>
          <w:top w:w="0" w:type="dxa"/>
          <w:left w:w="0" w:type="dxa"/>
          <w:bottom w:w="0" w:type="dxa"/>
          <w:right w:w="0" w:type="dxa"/>
        </w:tblCellMar>
      </w:tblPr>
      <w:tblGrid>
        <w:gridCol w:w="37"/>
        <w:gridCol w:w="482"/>
        <w:gridCol w:w="9686"/>
      </w:tblGrid>
      <w:tr>
        <w:trPr/>
        <w:tc>
          <w:tcPr>
            <w:tcW w:w="37"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pPr>
            <w:r>
              <w:rPr/>
              <w:t>2.12.</w:t>
            </w:r>
          </w:p>
        </w:tc>
        <w:tc>
          <w:tcPr>
            <w:tcW w:w="9686" w:type="dxa"/>
            <w:tcBorders/>
            <w:vAlign w:val="center"/>
          </w:tcPr>
          <w:p>
            <w:pPr>
              <w:pStyle w:val="TableContents"/>
              <w:bidi w:val="0"/>
              <w:spacing w:before="0" w:after="283"/>
              <w:jc w:val="both"/>
              <w:rPr/>
            </w:pPr>
            <w:r>
              <w:rPr/>
              <w:t>that all conditions precedent in the Documents for the transactions contemplated were completed prior to the issuance of the Offered Shares;</w:t>
            </w:r>
          </w:p>
        </w:tc>
      </w:tr>
    </w:tbl>
    <w:tbl>
      <w:tblPr>
        <w:tblW w:w="5000" w:type="pct"/>
        <w:jc w:val="left"/>
        <w:tblInd w:w="0" w:type="dxa"/>
        <w:tblLayout w:type="fixed"/>
        <w:tblCellMar>
          <w:top w:w="0" w:type="dxa"/>
          <w:left w:w="0" w:type="dxa"/>
          <w:bottom w:w="0" w:type="dxa"/>
          <w:right w:w="0" w:type="dxa"/>
        </w:tblCellMar>
      </w:tblPr>
      <w:tblGrid>
        <w:gridCol w:w="37"/>
        <w:gridCol w:w="451"/>
        <w:gridCol w:w="9717"/>
      </w:tblGrid>
      <w:tr>
        <w:trPr/>
        <w:tc>
          <w:tcPr>
            <w:tcW w:w="37"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lineRule="auto" w:line="268" w:before="0" w:after="283"/>
              <w:jc w:val="left"/>
              <w:rPr/>
            </w:pPr>
            <w:r>
              <w:rPr/>
              <w:t>2.13.</w:t>
            </w:r>
          </w:p>
        </w:tc>
        <w:tc>
          <w:tcPr>
            <w:tcW w:w="9717" w:type="dxa"/>
            <w:tcBorders/>
            <w:vAlign w:val="center"/>
          </w:tcPr>
          <w:p>
            <w:pPr>
              <w:pStyle w:val="TableContents"/>
              <w:bidi w:val="0"/>
              <w:spacing w:before="0" w:after="283"/>
              <w:jc w:val="both"/>
              <w:rPr/>
            </w:pPr>
            <w:r>
              <w:rPr/>
              <w:t>the existence, capacity, power and authority of each of the parties to the Documents (other than the Company) to enter into the Documents to which it is a party and perform its obligations under those Documents and that each individual purporting to have signed the Documents has in fact signed the Documents and had legal capacity when he or she signed and each individual intended to sign the Documents will in fact sign the Documents and will have legal capacity when he or she signs;</w:t>
            </w:r>
          </w:p>
        </w:tc>
      </w:tr>
    </w:tbl>
    <w:tbl>
      <w:tblPr>
        <w:tblW w:w="5000" w:type="pct"/>
        <w:jc w:val="left"/>
        <w:tblInd w:w="0" w:type="dxa"/>
        <w:tblLayout w:type="fixed"/>
        <w:tblCellMar>
          <w:top w:w="0" w:type="dxa"/>
          <w:left w:w="0" w:type="dxa"/>
          <w:bottom w:w="0" w:type="dxa"/>
          <w:right w:w="0" w:type="dxa"/>
        </w:tblCellMar>
      </w:tblPr>
      <w:tblGrid>
        <w:gridCol w:w="37"/>
        <w:gridCol w:w="448"/>
        <w:gridCol w:w="9720"/>
      </w:tblGrid>
      <w:tr>
        <w:trPr/>
        <w:tc>
          <w:tcPr>
            <w:tcW w:w="37"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lineRule="auto" w:line="268" w:before="0" w:after="283"/>
              <w:jc w:val="left"/>
              <w:rPr/>
            </w:pPr>
            <w:r>
              <w:rPr/>
              <w:t>2.14.</w:t>
            </w:r>
          </w:p>
        </w:tc>
        <w:tc>
          <w:tcPr>
            <w:tcW w:w="9720" w:type="dxa"/>
            <w:tcBorders/>
            <w:vAlign w:val="center"/>
          </w:tcPr>
          <w:p>
            <w:pPr>
              <w:pStyle w:val="TableContents"/>
              <w:bidi w:val="0"/>
              <w:spacing w:lineRule="auto" w:line="268" w:before="0" w:after="283"/>
              <w:jc w:val="both"/>
              <w:rPr/>
            </w:pPr>
            <w:r>
              <w:rPr/>
              <w:t xml:space="preserve">that the Offered Shares are and will not be offered to the public </w:t>
            </w:r>
            <w:bookmarkStart w:id="20" w:name="a_Hlk139650783"/>
            <w:bookmarkEnd w:id="20"/>
            <w:r>
              <w:rPr/>
              <w:t xml:space="preserve">or admitted to trading on a regulated market in circumstances where the obligation arises to publish a prospectus in accordance with Regulation (EU) 2017/1129 of the European Parliament and of the Council of 14 June 2017 on the prospectus to be published when securities are offered to the public or admitted to trading on a regulated market, as amended and/or the Luxembourg law of 16 July 2019 relating to prospectuses for securities, as amended </w:t>
            </w:r>
            <w:bookmarkStart w:id="21" w:name="a_Hlk139650834"/>
            <w:bookmarkEnd w:id="21"/>
            <w:r>
              <w:rPr/>
              <w:t>(without prejudice to applicable securities laws in any jurisdiction other than Luxembourg where the Offered Shares are marketed, offered or sold);</w:t>
            </w:r>
          </w:p>
        </w:tc>
      </w:tr>
    </w:tbl>
    <w:p>
      <w:pPr>
        <w:pStyle w:val="TextBody"/>
        <w:bidi w:val="0"/>
        <w:spacing w:lineRule="auto" w:line="268"/>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3/7</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0" w:type="dxa"/>
          <w:left w:w="0" w:type="dxa"/>
          <w:bottom w:w="0" w:type="dxa"/>
          <w:right w:w="0" w:type="dxa"/>
        </w:tblCellMar>
      </w:tblPr>
      <w:tblGrid>
        <w:gridCol w:w="37"/>
        <w:gridCol w:w="449"/>
        <w:gridCol w:w="9719"/>
      </w:tblGrid>
      <w:tr>
        <w:trPr/>
        <w:tc>
          <w:tcPr>
            <w:tcW w:w="37"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lineRule="auto" w:line="268" w:before="0" w:after="283"/>
              <w:jc w:val="left"/>
              <w:rPr/>
            </w:pPr>
            <w:r>
              <w:rPr/>
              <w:t>2.15.</w:t>
            </w:r>
          </w:p>
        </w:tc>
        <w:tc>
          <w:tcPr>
            <w:tcW w:w="9719" w:type="dxa"/>
            <w:tcBorders/>
            <w:vAlign w:val="center"/>
          </w:tcPr>
          <w:p>
            <w:pPr>
              <w:pStyle w:val="TableContents"/>
              <w:bidi w:val="0"/>
              <w:spacing w:lineRule="auto" w:line="268" w:before="0" w:after="283"/>
              <w:jc w:val="both"/>
              <w:rPr/>
            </w:pPr>
            <w:r>
              <w:rPr/>
              <w:t>that the entry into the Documents and the performance of any rights and obligations under the Documents are in the best corporate interests (</w:t>
            </w:r>
            <w:r>
              <w:rPr>
                <w:i/>
              </w:rPr>
              <w:t>intérêt social</w:t>
            </w:r>
            <w:r>
              <w:rPr/>
              <w:t>) of the Company and that the head office (</w:t>
            </w:r>
            <w:r>
              <w:rPr>
                <w:i/>
              </w:rPr>
              <w:t>administration centrale</w:t>
            </w:r>
            <w:r>
              <w:rPr/>
              <w:t>), the place of effective management (</w:t>
            </w:r>
            <w:r>
              <w:rPr>
                <w:i/>
              </w:rPr>
              <w:t>siège de direction effective</w:t>
            </w:r>
            <w:r>
              <w:rPr/>
              <w:t>), and, for the purposes of the Regulation (EU) 2015/848 of the European Parliament and of the Council of 20 May 2015 on insolvency proceedings (recast), the centre of main interests (</w:t>
            </w:r>
            <w:r>
              <w:rPr>
                <w:i/>
              </w:rPr>
              <w:t>centre des intérêts principaux</w:t>
            </w:r>
            <w:r>
              <w:rPr/>
              <w:t>) of the Company are located at the place of its registered office (</w:t>
            </w:r>
            <w:r>
              <w:rPr>
                <w:i/>
              </w:rPr>
              <w:t>siège statutaire</w:t>
            </w:r>
            <w:r>
              <w:rPr/>
              <w:t>) in Luxembourg.</w:t>
            </w:r>
          </w:p>
        </w:tc>
      </w:tr>
    </w:tbl>
    <w:tbl>
      <w:tblPr>
        <w:tblW w:w="5000" w:type="pct"/>
        <w:jc w:val="left"/>
        <w:tblInd w:w="0" w:type="dxa"/>
        <w:tblLayout w:type="fixed"/>
        <w:tblCellMar>
          <w:top w:w="0" w:type="dxa"/>
          <w:left w:w="0" w:type="dxa"/>
          <w:bottom w:w="0" w:type="dxa"/>
          <w:right w:w="0" w:type="dxa"/>
        </w:tblCellMar>
      </w:tblPr>
      <w:tblGrid>
        <w:gridCol w:w="326"/>
        <w:gridCol w:w="1718"/>
        <w:gridCol w:w="8161"/>
      </w:tblGrid>
      <w:tr>
        <w:trPr/>
        <w:tc>
          <w:tcPr>
            <w:tcW w:w="326" w:type="dxa"/>
            <w:tcBorders/>
            <w:vAlign w:val="center"/>
          </w:tcPr>
          <w:p>
            <w:pPr>
              <w:pStyle w:val="TableContents"/>
              <w:bidi w:val="0"/>
              <w:spacing w:before="0" w:after="283"/>
              <w:jc w:val="left"/>
              <w:rPr>
                <w:sz w:val="4"/>
                <w:szCs w:val="4"/>
              </w:rPr>
            </w:pPr>
            <w:r>
              <w:rPr>
                <w:sz w:val="4"/>
                <w:szCs w:val="4"/>
              </w:rPr>
            </w:r>
          </w:p>
        </w:tc>
        <w:tc>
          <w:tcPr>
            <w:tcW w:w="1718" w:type="dxa"/>
            <w:tcBorders/>
            <w:vAlign w:val="center"/>
          </w:tcPr>
          <w:p>
            <w:pPr>
              <w:pStyle w:val="TableContents"/>
              <w:bidi w:val="0"/>
              <w:spacing w:before="0" w:after="283"/>
              <w:jc w:val="left"/>
              <w:rPr>
                <w:b/>
              </w:rPr>
            </w:pPr>
            <w:r>
              <w:rPr>
                <w:b/>
              </w:rPr>
              <w:t>3.</w:t>
            </w:r>
          </w:p>
        </w:tc>
        <w:tc>
          <w:tcPr>
            <w:tcW w:w="8161" w:type="dxa"/>
            <w:tcBorders/>
            <w:vAlign w:val="center"/>
          </w:tcPr>
          <w:p>
            <w:pPr>
              <w:pStyle w:val="TableContents"/>
              <w:bidi w:val="0"/>
              <w:spacing w:before="0" w:after="283"/>
              <w:jc w:val="both"/>
              <w:rPr>
                <w:b/>
              </w:rPr>
            </w:pPr>
            <w:r>
              <w:rPr>
                <w:b/>
              </w:rPr>
              <w:t>Opinions</w:t>
            </w:r>
          </w:p>
        </w:tc>
      </w:tr>
    </w:tbl>
    <w:p>
      <w:pPr>
        <w:pStyle w:val="TextBody"/>
        <w:bidi w:val="0"/>
        <w:spacing w:lineRule="auto" w:line="268" w:before="280" w:after="280"/>
        <w:ind w:left="280" w:right="280" w:hanging="0"/>
        <w:jc w:val="both"/>
        <w:rPr>
          <w:rFonts w:ascii="Arial;Helvetica;Sans-Serif" w:hAnsi="Arial;Helvetica;Sans-Serif"/>
          <w:b w:val="false"/>
          <w:i w:val="false"/>
          <w:caps w:val="false"/>
          <w:smallCaps w:val="false"/>
          <w:sz w:val="20"/>
        </w:rPr>
      </w:pPr>
      <w:bookmarkStart w:id="22" w:name="a_Ref76043368"/>
      <w:bookmarkEnd w:id="22"/>
      <w:r>
        <w:rPr>
          <w:rFonts w:ascii="Arial;Helvetica;Sans-Serif" w:hAnsi="Arial;Helvetica;Sans-Serif"/>
          <w:b w:val="false"/>
          <w:i w:val="false"/>
          <w:caps w:val="false"/>
          <w:smallCaps w:val="false"/>
          <w:sz w:val="20"/>
        </w:rPr>
        <w:t>This Opinion is given on the basis that it is governed by and construed in accordance with Luxembourg law only and is subject to the exclusive jurisdiction of the courts of Luxembourg. We express no opinion on accounting, economic, financial, monetary, policy and tax aspects. On the basis of the assumptions set out above and subject to the qualifications set out below and to any factual matters, documents or events not disclosed to us, we are of the opinion that:</w:t>
      </w:r>
    </w:p>
    <w:tbl>
      <w:tblPr>
        <w:tblW w:w="5000" w:type="pct"/>
        <w:jc w:val="left"/>
        <w:tblInd w:w="0" w:type="dxa"/>
        <w:tblLayout w:type="fixed"/>
        <w:tblCellMar>
          <w:top w:w="0" w:type="dxa"/>
          <w:left w:w="0" w:type="dxa"/>
          <w:bottom w:w="0" w:type="dxa"/>
          <w:right w:w="0" w:type="dxa"/>
        </w:tblCellMar>
      </w:tblPr>
      <w:tblGrid>
        <w:gridCol w:w="37"/>
        <w:gridCol w:w="355"/>
        <w:gridCol w:w="9813"/>
      </w:tblGrid>
      <w:tr>
        <w:trPr/>
        <w:tc>
          <w:tcPr>
            <w:tcW w:w="37"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lineRule="auto" w:line="268" w:before="0" w:after="283"/>
              <w:jc w:val="left"/>
              <w:rPr/>
            </w:pPr>
            <w:r>
              <w:rPr/>
              <w:t>3.1.</w:t>
            </w:r>
          </w:p>
        </w:tc>
        <w:tc>
          <w:tcPr>
            <w:tcW w:w="9813" w:type="dxa"/>
            <w:tcBorders/>
            <w:vAlign w:val="center"/>
          </w:tcPr>
          <w:p>
            <w:pPr>
              <w:pStyle w:val="TableContents"/>
              <w:bidi w:val="0"/>
              <w:spacing w:lineRule="auto" w:line="268" w:before="0" w:after="283"/>
              <w:jc w:val="both"/>
              <w:rPr/>
            </w:pPr>
            <w:r>
              <w:rPr/>
              <w:t xml:space="preserve">the Company is a </w:t>
            </w:r>
            <w:bookmarkStart w:id="23" w:name="a_Hlk99121560"/>
            <w:bookmarkEnd w:id="23"/>
            <w:r>
              <w:rPr/>
              <w:t>public limited company (</w:t>
            </w:r>
            <w:r>
              <w:rPr>
                <w:i/>
              </w:rPr>
              <w:t>société anonyme</w:t>
            </w:r>
            <w:r>
              <w:rPr/>
              <w:t>) and has been incorporated for an unlimited duration and is validly existing under the laws of Luxembourg;</w:t>
            </w:r>
          </w:p>
        </w:tc>
      </w:tr>
    </w:tbl>
    <w:tbl>
      <w:tblPr>
        <w:tblW w:w="5000" w:type="pct"/>
        <w:jc w:val="left"/>
        <w:tblInd w:w="0" w:type="dxa"/>
        <w:tblLayout w:type="fixed"/>
        <w:tblCellMar>
          <w:top w:w="0" w:type="dxa"/>
          <w:left w:w="0" w:type="dxa"/>
          <w:bottom w:w="0" w:type="dxa"/>
          <w:right w:w="0" w:type="dxa"/>
        </w:tblCellMar>
      </w:tblPr>
      <w:tblGrid>
        <w:gridCol w:w="37"/>
        <w:gridCol w:w="331"/>
        <w:gridCol w:w="9837"/>
      </w:tblGrid>
      <w:tr>
        <w:trPr/>
        <w:tc>
          <w:tcPr>
            <w:tcW w:w="37"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lineRule="auto" w:line="268" w:before="0" w:after="283"/>
              <w:jc w:val="left"/>
              <w:rPr/>
            </w:pPr>
            <w:r>
              <w:rPr/>
              <w:t>3.2.</w:t>
            </w:r>
          </w:p>
        </w:tc>
        <w:tc>
          <w:tcPr>
            <w:tcW w:w="9837" w:type="dxa"/>
            <w:tcBorders/>
            <w:vAlign w:val="center"/>
          </w:tcPr>
          <w:p>
            <w:pPr>
              <w:pStyle w:val="TableContents"/>
              <w:bidi w:val="0"/>
              <w:spacing w:lineRule="auto" w:line="268" w:before="0" w:after="283"/>
              <w:jc w:val="both"/>
              <w:rPr/>
            </w:pPr>
            <w:r>
              <w:rPr/>
              <w:t>once duly subscribed, fully paid up and issued by a delegate of the board of directors of the Company in accordance with the Underwriting Agreement, the Registration Statement, the Prospectus Supplement and the Resolutions, the Offered Shares will be validly issued, fully paid up and non-assessable (meaning that the holder of such Offered Shares shall not be liable, solely because of his/her/its shareholder status, for additional payments to the Company or the Company’s creditors).</w:t>
            </w:r>
          </w:p>
        </w:tc>
      </w:tr>
    </w:tbl>
    <w:tbl>
      <w:tblPr>
        <w:tblW w:w="5000" w:type="pct"/>
        <w:jc w:val="left"/>
        <w:tblInd w:w="0" w:type="dxa"/>
        <w:tblLayout w:type="fixed"/>
        <w:tblCellMar>
          <w:top w:w="0" w:type="dxa"/>
          <w:left w:w="0" w:type="dxa"/>
          <w:bottom w:w="0" w:type="dxa"/>
          <w:right w:w="0" w:type="dxa"/>
        </w:tblCellMar>
      </w:tblPr>
      <w:tblGrid>
        <w:gridCol w:w="232"/>
        <w:gridCol w:w="1223"/>
        <w:gridCol w:w="8750"/>
      </w:tblGrid>
      <w:tr>
        <w:trPr/>
        <w:tc>
          <w:tcPr>
            <w:tcW w:w="232"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b/>
              </w:rPr>
            </w:pPr>
            <w:bookmarkStart w:id="24" w:name="a_Ref99117138"/>
            <w:bookmarkEnd w:id="24"/>
            <w:r>
              <w:rPr>
                <w:b/>
              </w:rPr>
              <w:t>4.</w:t>
            </w:r>
          </w:p>
        </w:tc>
        <w:tc>
          <w:tcPr>
            <w:tcW w:w="8750" w:type="dxa"/>
            <w:tcBorders/>
            <w:vAlign w:val="center"/>
          </w:tcPr>
          <w:p>
            <w:pPr>
              <w:pStyle w:val="TableContents"/>
              <w:bidi w:val="0"/>
              <w:spacing w:before="0" w:after="283"/>
              <w:jc w:val="both"/>
              <w:rPr>
                <w:b/>
              </w:rPr>
            </w:pPr>
            <w:r>
              <w:rPr>
                <w:b/>
              </w:rPr>
              <w:t>Qualifications</w:t>
            </w:r>
          </w:p>
        </w:tc>
      </w:tr>
    </w:tbl>
    <w:p>
      <w:pPr>
        <w:pStyle w:val="TextBody"/>
        <w:bidi w:val="0"/>
        <w:spacing w:lineRule="auto" w:line="268" w:before="280" w:after="280"/>
        <w:ind w:left="280" w:right="280" w:hanging="0"/>
        <w:jc w:val="both"/>
        <w:rPr>
          <w:rFonts w:ascii="Arial;Helvetica;Sans-Serif" w:hAnsi="Arial;Helvetica;Sans-Serif"/>
          <w:b w:val="false"/>
          <w:i w:val="false"/>
          <w:caps w:val="false"/>
          <w:smallCaps w:val="false"/>
          <w:sz w:val="20"/>
        </w:rPr>
      </w:pPr>
      <w:bookmarkStart w:id="25" w:name="a_Ref76043401"/>
      <w:bookmarkEnd w:id="25"/>
      <w:r>
        <w:rPr>
          <w:rFonts w:ascii="Arial;Helvetica;Sans-Serif" w:hAnsi="Arial;Helvetica;Sans-Serif"/>
          <w:b w:val="false"/>
          <w:i w:val="false"/>
          <w:caps w:val="false"/>
          <w:smallCaps w:val="false"/>
          <w:sz w:val="20"/>
        </w:rPr>
        <w:t>The opinions expressed in this Opinion are subject to the following qualifications:</w:t>
      </w:r>
    </w:p>
    <w:tbl>
      <w:tblPr>
        <w:tblW w:w="5000" w:type="pct"/>
        <w:jc w:val="left"/>
        <w:tblInd w:w="0" w:type="dxa"/>
        <w:tblLayout w:type="fixed"/>
        <w:tblCellMar>
          <w:top w:w="0" w:type="dxa"/>
          <w:left w:w="0" w:type="dxa"/>
          <w:bottom w:w="0" w:type="dxa"/>
          <w:right w:w="0" w:type="dxa"/>
        </w:tblCellMar>
      </w:tblPr>
      <w:tblGrid>
        <w:gridCol w:w="37"/>
        <w:gridCol w:w="341"/>
        <w:gridCol w:w="9827"/>
      </w:tblGrid>
      <w:tr>
        <w:trPr/>
        <w:tc>
          <w:tcPr>
            <w:tcW w:w="37"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lineRule="auto" w:line="268" w:before="0" w:after="283"/>
              <w:jc w:val="left"/>
              <w:rPr/>
            </w:pPr>
            <w:bookmarkStart w:id="26" w:name="a_Ref76043402"/>
            <w:bookmarkEnd w:id="26"/>
            <w:r>
              <w:rPr/>
              <w:t>4.1.</w:t>
            </w:r>
          </w:p>
        </w:tc>
        <w:tc>
          <w:tcPr>
            <w:tcW w:w="9827" w:type="dxa"/>
            <w:tcBorders/>
            <w:vAlign w:val="center"/>
          </w:tcPr>
          <w:p>
            <w:pPr>
              <w:pStyle w:val="TableContents"/>
              <w:bidi w:val="0"/>
              <w:spacing w:lineRule="auto" w:line="268" w:before="0" w:after="283"/>
              <w:jc w:val="both"/>
              <w:rPr/>
            </w:pPr>
            <w:r>
              <w:rPr/>
              <w:t>Luxembourg legal concepts are expressed in English terms and not in their original French terms. The concepts in question may not be identical to the concepts described by the same English terms as they exist in the laws, rules and regulations of other jurisdictions;</w:t>
            </w:r>
          </w:p>
        </w:tc>
      </w:tr>
    </w:tbl>
    <w:tbl>
      <w:tblPr>
        <w:tblW w:w="5000" w:type="pct"/>
        <w:jc w:val="left"/>
        <w:tblInd w:w="0" w:type="dxa"/>
        <w:tblLayout w:type="fixed"/>
        <w:tblCellMar>
          <w:top w:w="0" w:type="dxa"/>
          <w:left w:w="0" w:type="dxa"/>
          <w:bottom w:w="0" w:type="dxa"/>
          <w:right w:w="0" w:type="dxa"/>
        </w:tblCellMar>
      </w:tblPr>
      <w:tblGrid>
        <w:gridCol w:w="37"/>
        <w:gridCol w:w="328"/>
        <w:gridCol w:w="9840"/>
      </w:tblGrid>
      <w:tr>
        <w:trPr/>
        <w:tc>
          <w:tcPr>
            <w:tcW w:w="37"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lineRule="auto" w:line="268" w:before="0" w:after="283"/>
              <w:jc w:val="left"/>
              <w:rPr/>
            </w:pPr>
            <w:r>
              <w:rPr/>
              <w:t>4.2.</w:t>
            </w:r>
          </w:p>
        </w:tc>
        <w:tc>
          <w:tcPr>
            <w:tcW w:w="9840" w:type="dxa"/>
            <w:tcBorders/>
            <w:vAlign w:val="center"/>
          </w:tcPr>
          <w:p>
            <w:pPr>
              <w:pStyle w:val="TableContents"/>
              <w:bidi w:val="0"/>
              <w:spacing w:before="0" w:after="283"/>
              <w:jc w:val="both"/>
              <w:rPr/>
            </w:pPr>
            <w:r>
              <w:rPr/>
              <w:t xml:space="preserve">the opinions set out in this Opinion are subject to all limitations by reason of national or foreign administration, </w:t>
            </w:r>
            <w:r>
              <w:rPr>
                <w:i/>
              </w:rPr>
              <w:t>accord amiable</w:t>
            </w:r>
            <w:r>
              <w:rPr/>
              <w:t xml:space="preserve">, </w:t>
            </w:r>
            <w:r>
              <w:rPr>
                <w:i/>
              </w:rPr>
              <w:t>accord collectif</w:t>
            </w:r>
            <w:r>
              <w:rPr/>
              <w:t xml:space="preserve">, bankruptcy, collective agreement, </w:t>
            </w:r>
            <w:r>
              <w:rPr>
                <w:i/>
              </w:rPr>
              <w:t>conciliation</w:t>
            </w:r>
            <w:r>
              <w:rPr/>
              <w:t xml:space="preserve">, </w:t>
            </w:r>
            <w:r>
              <w:rPr>
                <w:i/>
              </w:rPr>
              <w:t>dissolution administrative sans liquidation</w:t>
            </w:r>
            <w:r>
              <w:rPr/>
              <w:t xml:space="preserve">, fraudulent conveyance, general settlement with creditors, </w:t>
            </w:r>
            <w:r>
              <w:rPr>
                <w:i/>
              </w:rPr>
              <w:t>faillite</w:t>
            </w:r>
            <w:r>
              <w:rPr/>
              <w:t xml:space="preserve">, insolvency, liquidation, moratorium, out-of-court mutual agreement, receivership, reorganisation, </w:t>
            </w:r>
            <w:r>
              <w:rPr>
                <w:i/>
              </w:rPr>
              <w:t>réorganisation</w:t>
            </w:r>
            <w:r>
              <w:rPr/>
              <w:t xml:space="preserve">, restructuring, stay, </w:t>
            </w:r>
            <w:r>
              <w:rPr>
                <w:i/>
              </w:rPr>
              <w:t>sursis</w:t>
            </w:r>
            <w:r>
              <w:rPr/>
              <w:t xml:space="preserve">, </w:t>
            </w:r>
            <w:r>
              <w:rPr>
                <w:i/>
              </w:rPr>
              <w:t>sursis de paiement</w:t>
            </w:r>
            <w:r>
              <w:rPr/>
              <w:t xml:space="preserve">, suspension of payment, transfer by court order, </w:t>
            </w:r>
            <w:r>
              <w:rPr>
                <w:i/>
              </w:rPr>
              <w:t>transfert par décision de justice</w:t>
            </w:r>
            <w:r>
              <w:rPr/>
              <w:t>, voluntary arrangement with creditors, winding-up or similar measures, orders or proceedings affecting the rights of creditors generally;</w:t>
            </w:r>
          </w:p>
        </w:tc>
      </w:tr>
    </w:tbl>
    <w:tbl>
      <w:tblPr>
        <w:tblW w:w="5000" w:type="pct"/>
        <w:jc w:val="left"/>
        <w:tblInd w:w="0" w:type="dxa"/>
        <w:tblLayout w:type="fixed"/>
        <w:tblCellMar>
          <w:top w:w="0" w:type="dxa"/>
          <w:left w:w="0" w:type="dxa"/>
          <w:bottom w:w="0" w:type="dxa"/>
          <w:right w:w="0" w:type="dxa"/>
        </w:tblCellMar>
      </w:tblPr>
      <w:tblGrid>
        <w:gridCol w:w="37"/>
        <w:gridCol w:w="325"/>
        <w:gridCol w:w="9843"/>
      </w:tblGrid>
      <w:tr>
        <w:trPr/>
        <w:tc>
          <w:tcPr>
            <w:tcW w:w="37"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pPr>
            <w:bookmarkStart w:id="27" w:name="a_Ref76043407"/>
            <w:bookmarkEnd w:id="27"/>
            <w:r>
              <w:rPr/>
              <w:t>4.3.</w:t>
            </w:r>
          </w:p>
        </w:tc>
        <w:tc>
          <w:tcPr>
            <w:tcW w:w="9843" w:type="dxa"/>
            <w:tcBorders/>
            <w:vAlign w:val="center"/>
          </w:tcPr>
          <w:p>
            <w:pPr>
              <w:pStyle w:val="TableContents"/>
              <w:bidi w:val="0"/>
              <w:spacing w:lineRule="auto" w:line="268" w:before="0" w:after="283"/>
              <w:jc w:val="both"/>
              <w:rPr/>
            </w:pPr>
            <w:r>
              <w:rPr/>
              <w:t>deeds (</w:t>
            </w:r>
            <w:r>
              <w:rPr>
                <w:i/>
              </w:rPr>
              <w:t>actes</w:t>
            </w:r>
            <w:r>
              <w:rPr/>
              <w:t>) or extracts of deeds (</w:t>
            </w:r>
            <w:r>
              <w:rPr>
                <w:i/>
              </w:rPr>
              <w:t>extraits d'actes</w:t>
            </w:r>
            <w:r>
              <w:rPr/>
              <w:t>) and other indications relating to the Company and which, under Luxembourg law, must be published on the RESA (</w:t>
            </w:r>
            <w:r>
              <w:rPr>
                <w:i/>
              </w:rPr>
              <w:t>Recueil électronique des sociétés et associations</w:t>
            </w:r>
            <w:r>
              <w:rPr/>
              <w:t>) (and which mainly concern acts relating to the incorporation, the formation, the functioning, the appointment of managers or directors and the liquidation of the relevant company as well as amendments, if any, to the articles of association) will only be enforceable against third parties after they have been published on the RESA (</w:t>
            </w:r>
            <w:r>
              <w:rPr>
                <w:i/>
              </w:rPr>
              <w:t>Recueil électronique des sociétés et associations</w:t>
            </w:r>
            <w:r>
              <w:rPr/>
              <w:t>) except where the Company proves that such third parties had previous knowledge of the deeds or extracts of deeds. Third parties may rely on deeds or extracts of deeds prior to their publication. For the fifteen days following the publication, the deeds or extracts of deeds will not be enforceable against third parties who prove that it was impossible for them to have had knowledge of the deeds or extracts of deeds within that time;</w:t>
            </w:r>
          </w:p>
        </w:tc>
      </w:tr>
    </w:tbl>
    <w:p>
      <w:pPr>
        <w:pStyle w:val="TextBody"/>
        <w:bidi w:val="0"/>
        <w:spacing w:lineRule="auto" w:line="268"/>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4/7</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0" w:type="dxa"/>
          <w:left w:w="0" w:type="dxa"/>
          <w:bottom w:w="0" w:type="dxa"/>
          <w:right w:w="0" w:type="dxa"/>
        </w:tblCellMar>
      </w:tblPr>
      <w:tblGrid>
        <w:gridCol w:w="37"/>
        <w:gridCol w:w="365"/>
        <w:gridCol w:w="9803"/>
      </w:tblGrid>
      <w:tr>
        <w:trPr/>
        <w:tc>
          <w:tcPr>
            <w:tcW w:w="37"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pPr>
            <w:r>
              <w:rPr/>
              <w:t>4.4.</w:t>
            </w:r>
          </w:p>
        </w:tc>
        <w:tc>
          <w:tcPr>
            <w:tcW w:w="9803" w:type="dxa"/>
            <w:tcBorders/>
            <w:vAlign w:val="center"/>
          </w:tcPr>
          <w:p>
            <w:pPr>
              <w:pStyle w:val="TableContents"/>
              <w:bidi w:val="0"/>
              <w:spacing w:lineRule="auto" w:line="268" w:before="0" w:after="283"/>
              <w:jc w:val="both"/>
              <w:rPr/>
            </w:pPr>
            <w:r>
              <w:rPr/>
              <w:t xml:space="preserve">the opinions set out in this Opinion </w:t>
            </w:r>
            <w:r>
              <w:rPr>
                <w:shd w:fill="FFFFFF" w:val="clear"/>
              </w:rPr>
              <w:t>are limited to the laws, including the rules and regulations, as in effect on the date of this Opinion</w:t>
            </w:r>
            <w:r>
              <w:rPr/>
              <w:t>.</w:t>
            </w:r>
          </w:p>
        </w:tc>
      </w:tr>
    </w:tbl>
    <w:tbl>
      <w:tblPr>
        <w:tblW w:w="5000" w:type="pct"/>
        <w:jc w:val="left"/>
        <w:tblInd w:w="0" w:type="dxa"/>
        <w:tblLayout w:type="fixed"/>
        <w:tblCellMar>
          <w:top w:w="0" w:type="dxa"/>
          <w:left w:w="0" w:type="dxa"/>
          <w:bottom w:w="0" w:type="dxa"/>
          <w:right w:w="0" w:type="dxa"/>
        </w:tblCellMar>
      </w:tblPr>
      <w:tblGrid>
        <w:gridCol w:w="339"/>
        <w:gridCol w:w="1785"/>
        <w:gridCol w:w="8081"/>
      </w:tblGrid>
      <w:tr>
        <w:trPr/>
        <w:tc>
          <w:tcPr>
            <w:tcW w:w="339" w:type="dxa"/>
            <w:tcBorders/>
            <w:vAlign w:val="center"/>
          </w:tcPr>
          <w:p>
            <w:pPr>
              <w:pStyle w:val="TableContents"/>
              <w:bidi w:val="0"/>
              <w:spacing w:before="0" w:after="283"/>
              <w:jc w:val="left"/>
              <w:rPr>
                <w:sz w:val="4"/>
                <w:szCs w:val="4"/>
              </w:rPr>
            </w:pPr>
            <w:r>
              <w:rPr>
                <w:sz w:val="4"/>
                <w:szCs w:val="4"/>
              </w:rPr>
            </w:r>
          </w:p>
        </w:tc>
        <w:tc>
          <w:tcPr>
            <w:tcW w:w="1785" w:type="dxa"/>
            <w:tcBorders/>
            <w:vAlign w:val="center"/>
          </w:tcPr>
          <w:p>
            <w:pPr>
              <w:pStyle w:val="TableContents"/>
              <w:bidi w:val="0"/>
              <w:spacing w:before="0" w:after="283"/>
              <w:jc w:val="left"/>
              <w:rPr>
                <w:b/>
              </w:rPr>
            </w:pPr>
            <w:r>
              <w:rPr>
                <w:b/>
              </w:rPr>
              <w:t>5.</w:t>
            </w:r>
          </w:p>
        </w:tc>
        <w:tc>
          <w:tcPr>
            <w:tcW w:w="8081" w:type="dxa"/>
            <w:tcBorders/>
            <w:vAlign w:val="center"/>
          </w:tcPr>
          <w:p>
            <w:pPr>
              <w:pStyle w:val="TableContents"/>
              <w:bidi w:val="0"/>
              <w:spacing w:before="0" w:after="283"/>
              <w:jc w:val="both"/>
              <w:rPr>
                <w:b/>
              </w:rPr>
            </w:pPr>
            <w:r>
              <w:rPr>
                <w:b/>
              </w:rPr>
              <w:t>Reliance</w:t>
            </w:r>
          </w:p>
        </w:tc>
      </w:tr>
    </w:tbl>
    <w:tbl>
      <w:tblPr>
        <w:tblW w:w="5000" w:type="pct"/>
        <w:jc w:val="left"/>
        <w:tblInd w:w="0" w:type="dxa"/>
        <w:tblLayout w:type="fixed"/>
        <w:tblCellMar>
          <w:top w:w="0" w:type="dxa"/>
          <w:left w:w="0" w:type="dxa"/>
          <w:bottom w:w="0" w:type="dxa"/>
          <w:right w:w="0" w:type="dxa"/>
        </w:tblCellMar>
      </w:tblPr>
      <w:tblGrid>
        <w:gridCol w:w="43"/>
        <w:gridCol w:w="439"/>
        <w:gridCol w:w="9723"/>
      </w:tblGrid>
      <w:tr>
        <w:trPr/>
        <w:tc>
          <w:tcPr>
            <w:tcW w:w="43"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pPr>
            <w:r>
              <w:rPr/>
              <w:t>5.1.</w:t>
            </w:r>
          </w:p>
        </w:tc>
        <w:tc>
          <w:tcPr>
            <w:tcW w:w="9723" w:type="dxa"/>
            <w:tcBorders/>
            <w:vAlign w:val="center"/>
          </w:tcPr>
          <w:p>
            <w:pPr>
              <w:pStyle w:val="TableContents"/>
              <w:bidi w:val="0"/>
              <w:spacing w:before="0" w:after="283"/>
              <w:jc w:val="both"/>
              <w:rPr/>
            </w:pPr>
            <w:r>
              <w:rPr/>
              <w:t>This Opinion is issued solely for the purposes of the filing of the Prospectus Supplement.</w:t>
            </w:r>
          </w:p>
        </w:tc>
      </w:tr>
    </w:tbl>
    <w:tbl>
      <w:tblPr>
        <w:tblW w:w="5000" w:type="pct"/>
        <w:jc w:val="left"/>
        <w:tblInd w:w="0" w:type="dxa"/>
        <w:tblLayout w:type="fixed"/>
        <w:tblCellMar>
          <w:top w:w="0" w:type="dxa"/>
          <w:left w:w="0" w:type="dxa"/>
          <w:bottom w:w="0" w:type="dxa"/>
          <w:right w:w="0" w:type="dxa"/>
        </w:tblCellMar>
      </w:tblPr>
      <w:tblGrid>
        <w:gridCol w:w="37"/>
        <w:gridCol w:w="331"/>
        <w:gridCol w:w="9837"/>
      </w:tblGrid>
      <w:tr>
        <w:trPr/>
        <w:tc>
          <w:tcPr>
            <w:tcW w:w="37"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lineRule="auto" w:line="268" w:before="0" w:after="283"/>
              <w:jc w:val="left"/>
              <w:rPr/>
            </w:pPr>
            <w:r>
              <w:rPr/>
              <w:t>5.2.</w:t>
            </w:r>
          </w:p>
        </w:tc>
        <w:tc>
          <w:tcPr>
            <w:tcW w:w="9837" w:type="dxa"/>
            <w:tcBorders/>
            <w:vAlign w:val="center"/>
          </w:tcPr>
          <w:p>
            <w:pPr>
              <w:pStyle w:val="TableContents"/>
              <w:bidi w:val="0"/>
              <w:spacing w:lineRule="auto" w:line="268" w:before="0" w:after="283"/>
              <w:jc w:val="both"/>
              <w:rPr/>
            </w:pPr>
            <w:r>
              <w:rPr>
                <w:shd w:fill="FFFFFF" w:val="clear"/>
              </w:rPr>
              <w:t>It may not be used, circulated, quoted, referred to or relied upon for any other purpose</w:t>
            </w:r>
            <w:r>
              <w:rPr/>
              <w:t xml:space="preserve"> without our written consent. We hereby consent to the filing of this Opinion as an exhibit to the </w:t>
            </w:r>
            <w:bookmarkStart w:id="28" w:name="a_Hlk139818295"/>
            <w:bookmarkEnd w:id="28"/>
            <w:r>
              <w:rPr/>
              <w:t>Prospectus Supplement and to the reference to our firm under the caption “Legal Matters” in the Prospectus Supplement. In giving such consent, we do not thereby admit that we are in the category of persons whose consent is required under section 7 of the U.S. Securities Act of 1933, as amended.</w:t>
            </w:r>
          </w:p>
        </w:tc>
      </w:tr>
    </w:tbl>
    <w:tbl>
      <w:tblPr>
        <w:tblW w:w="5000" w:type="pct"/>
        <w:jc w:val="left"/>
        <w:tblInd w:w="0" w:type="dxa"/>
        <w:tblLayout w:type="fixed"/>
        <w:tblCellMar>
          <w:top w:w="0" w:type="dxa"/>
          <w:left w:w="0" w:type="dxa"/>
          <w:bottom w:w="0" w:type="dxa"/>
          <w:right w:w="0" w:type="dxa"/>
        </w:tblCellMar>
      </w:tblPr>
      <w:tblGrid>
        <w:gridCol w:w="37"/>
        <w:gridCol w:w="350"/>
        <w:gridCol w:w="9818"/>
      </w:tblGrid>
      <w:tr>
        <w:trPr/>
        <w:tc>
          <w:tcPr>
            <w:tcW w:w="37"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pPr>
            <w:r>
              <w:rPr/>
              <w:t>5.3.</w:t>
            </w:r>
          </w:p>
        </w:tc>
        <w:tc>
          <w:tcPr>
            <w:tcW w:w="9818" w:type="dxa"/>
            <w:tcBorders/>
            <w:vAlign w:val="center"/>
          </w:tcPr>
          <w:p>
            <w:pPr>
              <w:pStyle w:val="TableContents"/>
              <w:bidi w:val="0"/>
              <w:spacing w:before="0" w:after="283"/>
              <w:jc w:val="both"/>
              <w:rPr/>
            </w:pPr>
            <w:r>
              <w:rPr/>
              <w:t>This Opinion is strictly limited to the matters stated in it and is given on the date set out on page 1; we have no obligation to update the Opinion or inform of any changes in law following such date.</w:t>
            </w:r>
          </w:p>
        </w:tc>
      </w:tr>
    </w:tbl>
    <w:tbl>
      <w:tblPr>
        <w:tblW w:w="5000" w:type="pct"/>
        <w:jc w:val="left"/>
        <w:tblInd w:w="0" w:type="dxa"/>
        <w:tblLayout w:type="fixed"/>
        <w:tblCellMar>
          <w:top w:w="0" w:type="dxa"/>
          <w:left w:w="0" w:type="dxa"/>
          <w:bottom w:w="0" w:type="dxa"/>
          <w:right w:w="0" w:type="dxa"/>
        </w:tblCellMar>
      </w:tblPr>
      <w:tblGrid>
        <w:gridCol w:w="37"/>
        <w:gridCol w:w="347"/>
        <w:gridCol w:w="9821"/>
      </w:tblGrid>
      <w:tr>
        <w:trPr/>
        <w:tc>
          <w:tcPr>
            <w:tcW w:w="3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lineRule="auto" w:line="268" w:before="0" w:after="283"/>
              <w:jc w:val="left"/>
              <w:rPr/>
            </w:pPr>
            <w:r>
              <w:rPr/>
              <w:t>5.4.</w:t>
            </w:r>
          </w:p>
        </w:tc>
        <w:tc>
          <w:tcPr>
            <w:tcW w:w="9821" w:type="dxa"/>
            <w:tcBorders/>
            <w:vAlign w:val="center"/>
          </w:tcPr>
          <w:p>
            <w:pPr>
              <w:pStyle w:val="TableContents"/>
              <w:bidi w:val="0"/>
              <w:spacing w:lineRule="auto" w:line="268" w:before="0" w:after="283"/>
              <w:jc w:val="both"/>
              <w:rPr/>
            </w:pPr>
            <w:r>
              <w:rPr/>
              <w:t>This Opinion is issued by and signed on behalf of Arendt &amp; Medernach SA, admitted to practice in the Grand Duchy of Luxembourg and registered on list V of the lawyers of the Luxembourg bar association.</w:t>
            </w:r>
          </w:p>
        </w:tc>
      </w:tr>
    </w:tbl>
    <w:p>
      <w:pPr>
        <w:pStyle w:val="TextBody"/>
        <w:bidi w:val="0"/>
        <w:spacing w:lineRule="auto" w:line="268" w:before="280" w:after="280"/>
        <w:ind w:left="280" w:right="280" w:hanging="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Yours faithfully,</w:t>
      </w:r>
    </w:p>
    <w:p>
      <w:pPr>
        <w:pStyle w:val="TextBody"/>
        <w:bidi w:val="0"/>
        <w:spacing w:lineRule="auto" w:line="268" w:before="280" w:after="280"/>
        <w:ind w:left="280" w:right="280" w:hanging="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By and on behalf of Arendt &amp; Medernach SA</w:t>
      </w:r>
    </w:p>
    <w:p>
      <w:pPr>
        <w:pStyle w:val="TextBody"/>
        <w:bidi w:val="0"/>
        <w:spacing w:lineRule="auto" w:line="268" w:before="280" w:after="280"/>
        <w:ind w:left="280" w:right="280" w:hanging="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Alexander Olliges</w:t>
      </w:r>
    </w:p>
    <w:p>
      <w:pPr>
        <w:pStyle w:val="TextBody"/>
        <w:bidi w:val="0"/>
        <w:spacing w:lineRule="auto" w:line="268" w:before="280" w:after="280"/>
        <w:ind w:left="280" w:right="280" w:hanging="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Partner</w:t>
      </w:r>
    </w:p>
    <w:p>
      <w:pPr>
        <w:pStyle w:val="TextBody"/>
        <w:bidi w:val="0"/>
        <w:spacing w:lineRule="auto" w:line="268"/>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5/7</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280" w:after="280"/>
        <w:ind w:left="280" w:right="28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APPENDIX A – DOCUMENTS</w:t>
      </w:r>
    </w:p>
    <w:tbl>
      <w:tblPr>
        <w:tblW w:w="5000" w:type="pct"/>
        <w:jc w:val="left"/>
        <w:tblInd w:w="0" w:type="dxa"/>
        <w:tblLayout w:type="fixed"/>
        <w:tblCellMar>
          <w:top w:w="0" w:type="dxa"/>
          <w:left w:w="0" w:type="dxa"/>
          <w:bottom w:w="0" w:type="dxa"/>
          <w:right w:w="0" w:type="dxa"/>
        </w:tblCellMar>
      </w:tblPr>
      <w:tblGrid>
        <w:gridCol w:w="83"/>
        <w:gridCol w:w="438"/>
        <w:gridCol w:w="9684"/>
      </w:tblGrid>
      <w:tr>
        <w:trPr/>
        <w:tc>
          <w:tcPr>
            <w:tcW w:w="83"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lineRule="auto" w:line="268" w:before="0" w:after="283"/>
              <w:jc w:val="left"/>
              <w:rPr/>
            </w:pPr>
            <w:r>
              <w:rPr/>
              <w:t>1.</w:t>
            </w:r>
          </w:p>
        </w:tc>
        <w:tc>
          <w:tcPr>
            <w:tcW w:w="9684" w:type="dxa"/>
            <w:tcBorders/>
            <w:vAlign w:val="center"/>
          </w:tcPr>
          <w:p>
            <w:pPr>
              <w:pStyle w:val="TableContents"/>
              <w:bidi w:val="0"/>
              <w:spacing w:lineRule="auto" w:line="268" w:before="0" w:after="283"/>
              <w:jc w:val="both"/>
              <w:rPr/>
            </w:pPr>
            <w:r>
              <w:rPr/>
              <w:t>A scanned copy of the Registration Statement.</w:t>
            </w:r>
          </w:p>
        </w:tc>
      </w:tr>
    </w:tbl>
    <w:tbl>
      <w:tblPr>
        <w:tblW w:w="5000" w:type="pct"/>
        <w:jc w:val="left"/>
        <w:tblInd w:w="0" w:type="dxa"/>
        <w:tblLayout w:type="fixed"/>
        <w:tblCellMar>
          <w:top w:w="0" w:type="dxa"/>
          <w:left w:w="0" w:type="dxa"/>
          <w:bottom w:w="0" w:type="dxa"/>
          <w:right w:w="0" w:type="dxa"/>
        </w:tblCellMar>
      </w:tblPr>
      <w:tblGrid>
        <w:gridCol w:w="69"/>
        <w:gridCol w:w="365"/>
        <w:gridCol w:w="9771"/>
      </w:tblGrid>
      <w:tr>
        <w:trPr/>
        <w:tc>
          <w:tcPr>
            <w:tcW w:w="6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pPr>
            <w:r>
              <w:rPr/>
              <w:t>2.</w:t>
            </w:r>
          </w:p>
        </w:tc>
        <w:tc>
          <w:tcPr>
            <w:tcW w:w="9771" w:type="dxa"/>
            <w:tcBorders/>
            <w:vAlign w:val="center"/>
          </w:tcPr>
          <w:p>
            <w:pPr>
              <w:pStyle w:val="TableContents"/>
              <w:bidi w:val="0"/>
              <w:spacing w:before="0" w:after="283"/>
              <w:jc w:val="both"/>
              <w:rPr/>
            </w:pPr>
            <w:r>
              <w:rPr/>
              <w:t>A scanned copy of the signed Underwriting Agreement.</w:t>
            </w:r>
          </w:p>
        </w:tc>
      </w:tr>
    </w:tbl>
    <w:tbl>
      <w:tblPr>
        <w:tblW w:w="5000" w:type="pct"/>
        <w:jc w:val="left"/>
        <w:tblInd w:w="0" w:type="dxa"/>
        <w:tblLayout w:type="fixed"/>
        <w:tblCellMar>
          <w:top w:w="0" w:type="dxa"/>
          <w:left w:w="0" w:type="dxa"/>
          <w:bottom w:w="0" w:type="dxa"/>
          <w:right w:w="0" w:type="dxa"/>
        </w:tblCellMar>
      </w:tblPr>
      <w:tblGrid>
        <w:gridCol w:w="49"/>
        <w:gridCol w:w="263"/>
        <w:gridCol w:w="9893"/>
      </w:tblGrid>
      <w:tr>
        <w:trPr/>
        <w:tc>
          <w:tcPr>
            <w:tcW w:w="4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lineRule="auto" w:line="268" w:before="0" w:after="283"/>
              <w:jc w:val="left"/>
              <w:rPr/>
            </w:pPr>
            <w:r>
              <w:rPr/>
              <w:t>3.</w:t>
            </w:r>
          </w:p>
        </w:tc>
        <w:tc>
          <w:tcPr>
            <w:tcW w:w="9893" w:type="dxa"/>
            <w:tcBorders/>
            <w:vAlign w:val="center"/>
          </w:tcPr>
          <w:p>
            <w:pPr>
              <w:pStyle w:val="TableContents"/>
              <w:bidi w:val="0"/>
              <w:spacing w:lineRule="auto" w:line="268" w:before="0" w:after="283"/>
              <w:jc w:val="both"/>
              <w:rPr/>
            </w:pPr>
            <w:r>
              <w:rPr/>
              <w:t>A scanned copy of the draft Prospectus Supplement, received on 16 June 2026.</w:t>
            </w:r>
          </w:p>
        </w:tc>
      </w:tr>
    </w:tbl>
    <w:tbl>
      <w:tblPr>
        <w:tblW w:w="5000" w:type="pct"/>
        <w:jc w:val="left"/>
        <w:tblInd w:w="0" w:type="dxa"/>
        <w:tblLayout w:type="fixed"/>
        <w:tblCellMar>
          <w:top w:w="0" w:type="dxa"/>
          <w:left w:w="0" w:type="dxa"/>
          <w:bottom w:w="0" w:type="dxa"/>
          <w:right w:w="0" w:type="dxa"/>
        </w:tblCellMar>
      </w:tblPr>
      <w:tblGrid>
        <w:gridCol w:w="37"/>
        <w:gridCol w:w="193"/>
        <w:gridCol w:w="9975"/>
      </w:tblGrid>
      <w:tr>
        <w:trPr/>
        <w:tc>
          <w:tcPr>
            <w:tcW w:w="37"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lineRule="auto" w:line="268" w:before="0" w:after="283"/>
              <w:jc w:val="left"/>
              <w:rPr/>
            </w:pPr>
            <w:r>
              <w:rPr/>
              <w:t>4.</w:t>
            </w:r>
          </w:p>
        </w:tc>
        <w:tc>
          <w:tcPr>
            <w:tcW w:w="9975" w:type="dxa"/>
            <w:tcBorders/>
            <w:vAlign w:val="center"/>
          </w:tcPr>
          <w:p>
            <w:pPr>
              <w:pStyle w:val="TableContents"/>
              <w:bidi w:val="0"/>
              <w:spacing w:lineRule="auto" w:line="268" w:before="0" w:after="283"/>
              <w:jc w:val="both"/>
              <w:rPr/>
            </w:pPr>
            <w:r>
              <w:rPr/>
              <w:t>A scanned copy of the consolidated articles of association of the Company dated 11 February 2026 (the “</w:t>
            </w:r>
            <w:r>
              <w:rPr>
                <w:b/>
              </w:rPr>
              <w:t>Articles</w:t>
            </w:r>
            <w:r>
              <w:rPr/>
              <w:t>”).</w:t>
            </w:r>
          </w:p>
        </w:tc>
      </w:tr>
    </w:tbl>
    <w:tbl>
      <w:tblPr>
        <w:tblW w:w="5000" w:type="pct"/>
        <w:jc w:val="left"/>
        <w:tblInd w:w="0" w:type="dxa"/>
        <w:tblLayout w:type="fixed"/>
        <w:tblCellMar>
          <w:top w:w="0" w:type="dxa"/>
          <w:left w:w="0" w:type="dxa"/>
          <w:bottom w:w="0" w:type="dxa"/>
          <w:right w:w="0" w:type="dxa"/>
        </w:tblCellMar>
      </w:tblPr>
      <w:tblGrid>
        <w:gridCol w:w="39"/>
        <w:gridCol w:w="210"/>
        <w:gridCol w:w="9956"/>
      </w:tblGrid>
      <w:tr>
        <w:trPr/>
        <w:tc>
          <w:tcPr>
            <w:tcW w:w="3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pPr>
            <w:bookmarkStart w:id="29" w:name="a_Ref76043466"/>
            <w:bookmarkStart w:id="30" w:name="a_Ref76043465"/>
            <w:bookmarkEnd w:id="29"/>
            <w:bookmarkEnd w:id="30"/>
            <w:r>
              <w:rPr/>
              <w:t>5.</w:t>
            </w:r>
          </w:p>
        </w:tc>
        <w:tc>
          <w:tcPr>
            <w:tcW w:w="9956" w:type="dxa"/>
            <w:tcBorders/>
            <w:vAlign w:val="center"/>
          </w:tcPr>
          <w:p>
            <w:pPr>
              <w:pStyle w:val="TableContents"/>
              <w:bidi w:val="0"/>
              <w:spacing w:before="0" w:after="283"/>
              <w:jc w:val="both"/>
              <w:rPr/>
            </w:pPr>
            <w:r>
              <w:rPr/>
              <w:t>An extract dated 16 June 2026 and issued in electronic form by the RCS in respect of the Company.</w:t>
            </w:r>
          </w:p>
        </w:tc>
      </w:tr>
    </w:tbl>
    <w:tbl>
      <w:tblPr>
        <w:tblW w:w="5000" w:type="pct"/>
        <w:jc w:val="left"/>
        <w:tblInd w:w="0" w:type="dxa"/>
        <w:tblLayout w:type="fixed"/>
        <w:tblCellMar>
          <w:top w:w="0" w:type="dxa"/>
          <w:left w:w="0" w:type="dxa"/>
          <w:bottom w:w="0" w:type="dxa"/>
          <w:right w:w="0" w:type="dxa"/>
        </w:tblCellMar>
      </w:tblPr>
      <w:tblGrid>
        <w:gridCol w:w="37"/>
        <w:gridCol w:w="157"/>
        <w:gridCol w:w="10011"/>
      </w:tblGrid>
      <w:tr>
        <w:trPr/>
        <w:tc>
          <w:tcPr>
            <w:tcW w:w="3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pPr>
            <w:r>
              <w:rPr/>
              <w:t>6.</w:t>
            </w:r>
          </w:p>
        </w:tc>
        <w:tc>
          <w:tcPr>
            <w:tcW w:w="10011" w:type="dxa"/>
            <w:tcBorders/>
            <w:vAlign w:val="center"/>
          </w:tcPr>
          <w:p>
            <w:pPr>
              <w:pStyle w:val="TableContents"/>
              <w:bidi w:val="0"/>
              <w:spacing w:before="0" w:after="283"/>
              <w:jc w:val="both"/>
              <w:rPr/>
            </w:pPr>
            <w:r>
              <w:rPr/>
              <w:t>A certificate of non-registration of a judicial decision or administrative dissolution without liquidation (</w:t>
            </w:r>
            <w:r>
              <w:rPr>
                <w:i/>
              </w:rPr>
              <w:t>certificat de non-inscription d'une décision judiciaire ou de dissolution administrative sans liquidation</w:t>
            </w:r>
            <w:r>
              <w:rPr/>
              <w:t xml:space="preserve">) dated 16 June 2026 and issued in electronic form by the </w:t>
            </w:r>
            <w:r>
              <w:rPr>
                <w:i/>
              </w:rPr>
              <w:t>Registre de l’Insolvabilité de Luxembourg</w:t>
            </w:r>
            <w:r>
              <w:rPr/>
              <w:t xml:space="preserve"> in respect of the Company.</w:t>
            </w:r>
          </w:p>
        </w:tc>
      </w:tr>
    </w:tbl>
    <w:tbl>
      <w:tblPr>
        <w:tblW w:w="5000" w:type="pct"/>
        <w:jc w:val="left"/>
        <w:tblInd w:w="0" w:type="dxa"/>
        <w:tblLayout w:type="fixed"/>
        <w:tblCellMar>
          <w:top w:w="0" w:type="dxa"/>
          <w:left w:w="0" w:type="dxa"/>
          <w:bottom w:w="0" w:type="dxa"/>
          <w:right w:w="0" w:type="dxa"/>
        </w:tblCellMar>
      </w:tblPr>
      <w:tblGrid>
        <w:gridCol w:w="37"/>
        <w:gridCol w:w="180"/>
        <w:gridCol w:w="9988"/>
      </w:tblGrid>
      <w:tr>
        <w:trPr/>
        <w:tc>
          <w:tcPr>
            <w:tcW w:w="3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pPr>
            <w:r>
              <w:rPr/>
              <w:t>7.</w:t>
            </w:r>
          </w:p>
        </w:tc>
        <w:tc>
          <w:tcPr>
            <w:tcW w:w="9988" w:type="dxa"/>
            <w:tcBorders/>
            <w:vAlign w:val="center"/>
          </w:tcPr>
          <w:p>
            <w:pPr>
              <w:pStyle w:val="TableContents"/>
              <w:bidi w:val="0"/>
              <w:spacing w:before="0" w:after="283"/>
              <w:jc w:val="both"/>
              <w:rPr/>
            </w:pPr>
            <w:r>
              <w:rPr/>
              <w:t>A scanned copy of the excerpt of the minutes of the meeting of the board of directors of the Company dated 8 June 2026 (the “</w:t>
            </w:r>
            <w:r>
              <w:rPr>
                <w:b/>
              </w:rPr>
              <w:t>First Resolutions</w:t>
            </w:r>
            <w:r>
              <w:rPr/>
              <w:t>”).</w:t>
            </w:r>
          </w:p>
        </w:tc>
      </w:tr>
    </w:tbl>
    <w:tbl>
      <w:tblPr>
        <w:tblW w:w="5000" w:type="pct"/>
        <w:jc w:val="left"/>
        <w:tblInd w:w="0" w:type="dxa"/>
        <w:tblLayout w:type="fixed"/>
        <w:tblCellMar>
          <w:top w:w="0" w:type="dxa"/>
          <w:left w:w="0" w:type="dxa"/>
          <w:bottom w:w="0" w:type="dxa"/>
          <w:right w:w="0" w:type="dxa"/>
        </w:tblCellMar>
      </w:tblPr>
      <w:tblGrid>
        <w:gridCol w:w="37"/>
        <w:gridCol w:w="167"/>
        <w:gridCol w:w="10001"/>
      </w:tblGrid>
      <w:tr>
        <w:trPr/>
        <w:tc>
          <w:tcPr>
            <w:tcW w:w="3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pPr>
            <w:r>
              <w:rPr/>
              <w:t>8.</w:t>
            </w:r>
          </w:p>
        </w:tc>
        <w:tc>
          <w:tcPr>
            <w:tcW w:w="10001" w:type="dxa"/>
            <w:tcBorders/>
            <w:vAlign w:val="center"/>
          </w:tcPr>
          <w:p>
            <w:pPr>
              <w:pStyle w:val="TableContents"/>
              <w:bidi w:val="0"/>
              <w:spacing w:before="0" w:after="283"/>
              <w:jc w:val="both"/>
              <w:rPr/>
            </w:pPr>
            <w:r>
              <w:rPr/>
              <w:t>A scanned copy of the excerpt of the minutes of the meeting of the board of directors of the Company dated 15 June 2026 (the “</w:t>
            </w:r>
            <w:r>
              <w:rPr>
                <w:b/>
              </w:rPr>
              <w:t>Second Resolutions</w:t>
            </w:r>
            <w:r>
              <w:rPr/>
              <w:t>” and, together with the First Resolutions, the “</w:t>
            </w:r>
            <w:r>
              <w:rPr>
                <w:b/>
              </w:rPr>
              <w:t>Resolutions</w:t>
            </w:r>
            <w:r>
              <w:rPr/>
              <w:t>”).</w:t>
            </w:r>
          </w:p>
        </w:tc>
      </w:tr>
    </w:tbl>
    <w:tbl>
      <w:tblPr>
        <w:tblW w:w="5000" w:type="pct"/>
        <w:jc w:val="left"/>
        <w:tblInd w:w="0" w:type="dxa"/>
        <w:tblLayout w:type="fixed"/>
        <w:tblCellMar>
          <w:top w:w="0" w:type="dxa"/>
          <w:left w:w="0" w:type="dxa"/>
          <w:bottom w:w="0" w:type="dxa"/>
          <w:right w:w="0" w:type="dxa"/>
        </w:tblCellMar>
      </w:tblPr>
      <w:tblGrid>
        <w:gridCol w:w="37"/>
        <w:gridCol w:w="155"/>
        <w:gridCol w:w="10013"/>
      </w:tblGrid>
      <w:tr>
        <w:trPr/>
        <w:tc>
          <w:tcPr>
            <w:tcW w:w="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pPr>
            <w:r>
              <w:rPr/>
              <w:t>9.</w:t>
            </w:r>
          </w:p>
        </w:tc>
        <w:tc>
          <w:tcPr>
            <w:tcW w:w="10013" w:type="dxa"/>
            <w:tcBorders/>
            <w:vAlign w:val="center"/>
          </w:tcPr>
          <w:p>
            <w:pPr>
              <w:pStyle w:val="TableContents"/>
              <w:bidi w:val="0"/>
              <w:spacing w:before="0" w:after="283"/>
              <w:jc w:val="both"/>
              <w:rPr/>
            </w:pPr>
            <w:r>
              <w:rPr/>
              <w:t>A scanned copy of the notarial deed of acknowledgement of capital increase by an amount of two million seven hundred seven thousand two hundred sixteen US dollars and seventy-two cents (USD 2,707,216.72) through the issuance of twenty-seven million seventy-two thousand one hundred and sixty-seven (27,072,167) shares dated 4 July 2022.</w:t>
            </w:r>
          </w:p>
        </w:tc>
      </w:tr>
    </w:tbl>
    <w:tbl>
      <w:tblPr>
        <w:tblW w:w="5000" w:type="pct"/>
        <w:jc w:val="left"/>
        <w:tblInd w:w="0" w:type="dxa"/>
        <w:tblLayout w:type="fixed"/>
        <w:tblCellMar>
          <w:top w:w="0" w:type="dxa"/>
          <w:left w:w="0" w:type="dxa"/>
          <w:bottom w:w="0" w:type="dxa"/>
          <w:right w:w="0" w:type="dxa"/>
        </w:tblCellMar>
      </w:tblPr>
      <w:tblGrid>
        <w:gridCol w:w="37"/>
        <w:gridCol w:w="278"/>
        <w:gridCol w:w="9890"/>
      </w:tblGrid>
      <w:tr>
        <w:trPr/>
        <w:tc>
          <w:tcPr>
            <w:tcW w:w="3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pPr>
            <w:r>
              <w:rPr/>
              <w:t>10.</w:t>
            </w:r>
          </w:p>
        </w:tc>
        <w:tc>
          <w:tcPr>
            <w:tcW w:w="9890" w:type="dxa"/>
            <w:tcBorders/>
            <w:vAlign w:val="center"/>
          </w:tcPr>
          <w:p>
            <w:pPr>
              <w:pStyle w:val="TableContents"/>
              <w:bidi w:val="0"/>
              <w:spacing w:before="0" w:after="283"/>
              <w:jc w:val="both"/>
              <w:rPr/>
            </w:pPr>
            <w:r>
              <w:rPr/>
              <w:t>A scanned copy of the notarial deed of acknowledgement of capital increase by an amount of one hundred forty thousand fifty-seven US dollars and ninety cents (USD 140,057.90) through the issuance of fourteen million five thousand seven hundred ninety (14,005,790) shares dated 28 March 2023.</w:t>
            </w:r>
          </w:p>
        </w:tc>
      </w:tr>
    </w:tbl>
    <w:tbl>
      <w:tblPr>
        <w:tblW w:w="5000" w:type="pct"/>
        <w:jc w:val="left"/>
        <w:tblInd w:w="0" w:type="dxa"/>
        <w:tblLayout w:type="fixed"/>
        <w:tblCellMar>
          <w:top w:w="0" w:type="dxa"/>
          <w:left w:w="0" w:type="dxa"/>
          <w:bottom w:w="0" w:type="dxa"/>
          <w:right w:w="0" w:type="dxa"/>
        </w:tblCellMar>
      </w:tblPr>
      <w:tblGrid>
        <w:gridCol w:w="37"/>
        <w:gridCol w:w="284"/>
        <w:gridCol w:w="9884"/>
      </w:tblGrid>
      <w:tr>
        <w:trPr/>
        <w:tc>
          <w:tcPr>
            <w:tcW w:w="3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pPr>
            <w:r>
              <w:rPr/>
              <w:t>11.</w:t>
            </w:r>
          </w:p>
        </w:tc>
        <w:tc>
          <w:tcPr>
            <w:tcW w:w="9884" w:type="dxa"/>
            <w:tcBorders/>
            <w:vAlign w:val="center"/>
          </w:tcPr>
          <w:p>
            <w:pPr>
              <w:pStyle w:val="TableContents"/>
              <w:bidi w:val="0"/>
              <w:spacing w:before="0" w:after="283"/>
              <w:jc w:val="both"/>
              <w:rPr/>
            </w:pPr>
            <w:r>
              <w:rPr/>
              <w:t>A scanned copy of the notarial deed of acknowledgement of capital increase by an amount of one hundred thirty thousand US dollars (USD 130,000) through the issuance of thirteen million (13,000,000) shares dated 12 March 2024.</w:t>
            </w:r>
          </w:p>
        </w:tc>
      </w:tr>
    </w:tbl>
    <w:tbl>
      <w:tblPr>
        <w:tblW w:w="5000" w:type="pct"/>
        <w:jc w:val="left"/>
        <w:tblInd w:w="0" w:type="dxa"/>
        <w:tblLayout w:type="fixed"/>
        <w:tblCellMar>
          <w:top w:w="0" w:type="dxa"/>
          <w:left w:w="0" w:type="dxa"/>
          <w:bottom w:w="0" w:type="dxa"/>
          <w:right w:w="0" w:type="dxa"/>
        </w:tblCellMar>
      </w:tblPr>
      <w:tblGrid>
        <w:gridCol w:w="37"/>
        <w:gridCol w:w="276"/>
        <w:gridCol w:w="9892"/>
      </w:tblGrid>
      <w:tr>
        <w:trPr/>
        <w:tc>
          <w:tcPr>
            <w:tcW w:w="37"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pPr>
            <w:r>
              <w:rPr/>
              <w:t>12.</w:t>
            </w:r>
          </w:p>
        </w:tc>
        <w:tc>
          <w:tcPr>
            <w:tcW w:w="9892" w:type="dxa"/>
            <w:tcBorders/>
            <w:vAlign w:val="center"/>
          </w:tcPr>
          <w:p>
            <w:pPr>
              <w:pStyle w:val="TableContents"/>
              <w:bidi w:val="0"/>
              <w:spacing w:before="0" w:after="283"/>
              <w:jc w:val="both"/>
              <w:rPr/>
            </w:pPr>
            <w:r>
              <w:rPr/>
              <w:t>A scanned copy of the notarial deed of acknowledgement of capital increase by an amount of two hundred twenty thousand seven hundred thirty-five US dollars and seventy-eight cents (USD 220,735.78) through the issuance of twenty-two million seventy-three thousand five hundred seventy-eight (22,073,578) shares dated 1 July 2024.</w:t>
            </w:r>
          </w:p>
        </w:tc>
      </w:tr>
    </w:tbl>
    <w:p>
      <w:pPr>
        <w:pStyle w:val="TextBody"/>
        <w:bidi w:val="0"/>
        <w:spacing w:lineRule="auto" w:line="268"/>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6/7</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0" w:type="dxa"/>
          <w:left w:w="0" w:type="dxa"/>
          <w:bottom w:w="0" w:type="dxa"/>
          <w:right w:w="0" w:type="dxa"/>
        </w:tblCellMar>
      </w:tblPr>
      <w:tblGrid>
        <w:gridCol w:w="37"/>
        <w:gridCol w:w="277"/>
        <w:gridCol w:w="9891"/>
      </w:tblGrid>
      <w:tr>
        <w:trPr/>
        <w:tc>
          <w:tcPr>
            <w:tcW w:w="3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pPr>
            <w:r>
              <w:rPr/>
              <w:t>13.</w:t>
            </w:r>
          </w:p>
        </w:tc>
        <w:tc>
          <w:tcPr>
            <w:tcW w:w="9891" w:type="dxa"/>
            <w:tcBorders/>
            <w:vAlign w:val="center"/>
          </w:tcPr>
          <w:p>
            <w:pPr>
              <w:pStyle w:val="TableContents"/>
              <w:bidi w:val="0"/>
              <w:spacing w:before="0" w:after="283"/>
              <w:jc w:val="both"/>
              <w:rPr/>
            </w:pPr>
            <w:r>
              <w:rPr/>
              <w:t>A scanned copy of the notarial deed of acknowledgement of capital increase by an amount of ninety-two thousand three hundred seventy-one US dollars and seven cents (USD 92,371.07) through the issuance of nine million two hundred thirty-seven thousand one hundred seven (9,237,107) shares dated 25 June 2025.</w:t>
            </w:r>
          </w:p>
        </w:tc>
      </w:tr>
    </w:tbl>
    <w:tbl>
      <w:tblPr>
        <w:tblW w:w="5000" w:type="pct"/>
        <w:jc w:val="left"/>
        <w:tblInd w:w="0" w:type="dxa"/>
        <w:tblLayout w:type="fixed"/>
        <w:tblCellMar>
          <w:top w:w="0" w:type="dxa"/>
          <w:left w:w="0" w:type="dxa"/>
          <w:bottom w:w="0" w:type="dxa"/>
          <w:right w:w="0" w:type="dxa"/>
        </w:tblCellMar>
      </w:tblPr>
      <w:tblGrid>
        <w:gridCol w:w="37"/>
        <w:gridCol w:w="281"/>
        <w:gridCol w:w="9887"/>
      </w:tblGrid>
      <w:tr>
        <w:trPr/>
        <w:tc>
          <w:tcPr>
            <w:tcW w:w="37"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pPr>
            <w:r>
              <w:rPr/>
              <w:t>14.</w:t>
            </w:r>
          </w:p>
        </w:tc>
        <w:tc>
          <w:tcPr>
            <w:tcW w:w="9887" w:type="dxa"/>
            <w:tcBorders/>
            <w:vAlign w:val="center"/>
          </w:tcPr>
          <w:p>
            <w:pPr>
              <w:pStyle w:val="TableContents"/>
              <w:bidi w:val="0"/>
              <w:spacing w:before="0" w:after="283"/>
              <w:jc w:val="both"/>
              <w:rPr/>
            </w:pPr>
            <w:r>
              <w:rPr/>
              <w:t>A scanned copy of the notarial deed of acknowledgement of capital increase by an amount of one hundred twenty-five thousand US dollars (USD 125,000) through the issuance of twelve million five hundred thousand (12,500,000) shares dated 11 February 2026.</w:t>
            </w:r>
          </w:p>
        </w:tc>
      </w:tr>
    </w:tbl>
    <w:p>
      <w:pPr>
        <w:pStyle w:val="TextBody"/>
        <w:bidi w:val="0"/>
        <w:spacing w:lineRule="auto" w:line="268"/>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7/7</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right"/>
        <w:rPr>
          <w:rFonts w:ascii="Arial;Helvetica;Sans-Serif" w:hAnsi="Arial;Helvetica;Sans-Serif"/>
          <w:b/>
          <w:i w:val="false"/>
          <w:caps w:val="false"/>
          <w:smallCaps w:val="false"/>
          <w:sz w:val="20"/>
        </w:rPr>
      </w:pPr>
      <w:bookmarkStart w:id="31" w:name="c116686_ex10-1.htm"/>
      <w:bookmarkStart w:id="32" w:name="ksc116686_ex101"/>
      <w:bookmarkEnd w:id="31"/>
      <w:bookmarkEnd w:id="32"/>
      <w:r>
        <w:rPr>
          <w:rFonts w:ascii="Arial;Helvetica;Sans-Serif" w:hAnsi="Arial;Helvetica;Sans-Serif"/>
          <w:b/>
          <w:i w:val="false"/>
          <w:caps w:val="false"/>
          <w:smallCaps w:val="false"/>
          <w:sz w:val="20"/>
        </w:rPr>
        <w:t>Exhibit 10.1</w:t>
      </w:r>
      <w:r>
        <w:br w:type="page"/>
      </w:r>
    </w:p>
    <w:p>
      <w:pPr>
        <w:pStyle w:val="TextBody"/>
        <w:bidi w:val="0"/>
        <w:jc w:val="center"/>
        <w:rPr>
          <w:caps w:val="false"/>
          <w:smallCaps w:val="false"/>
        </w:rPr>
      </w:pPr>
      <w:r>
        <w:rPr>
          <w:caps w:val="false"/>
          <w:smallCaps w:val="false"/>
        </w:rPr>
        <w:t> </w:t>
      </w:r>
    </w:p>
    <w:p>
      <w:pPr>
        <w:pStyle w:val="TextBody"/>
        <w:bidi w:val="0"/>
        <w:jc w:val="center"/>
        <w:rPr>
          <w:rFonts w:ascii="Arial;Helvetica;Sans-Serif" w:hAnsi="Arial;Helvetica;Sans-Serif"/>
          <w:b/>
          <w:i w:val="false"/>
          <w:caps w:val="false"/>
          <w:smallCaps w:val="false"/>
          <w:sz w:val="28"/>
        </w:rPr>
      </w:pPr>
      <w:r>
        <w:rPr>
          <w:rFonts w:ascii="Arial;Helvetica;Sans-Serif" w:hAnsi="Arial;Helvetica;Sans-Serif"/>
          <w:b/>
          <w:i w:val="false"/>
          <w:caps w:val="false"/>
          <w:smallCaps w:val="false"/>
          <w:sz w:val="28"/>
        </w:rPr>
        <w:t>SUBSCRIPTION AGREEMENT</w:t>
      </w:r>
    </w:p>
    <w:p>
      <w:pPr>
        <w:pStyle w:val="TextBody"/>
        <w:bidi w:val="0"/>
        <w:jc w:val="both"/>
        <w:rPr>
          <w:caps w:val="false"/>
          <w:smallCaps w:val="false"/>
        </w:rPr>
      </w:pPr>
      <w:r>
        <w:rPr>
          <w:caps w:val="false"/>
          <w:smallCaps w:val="false"/>
        </w:rPr>
        <w:t> </w:t>
      </w:r>
    </w:p>
    <w:p>
      <w:pPr>
        <w:pStyle w:val="TextBody"/>
        <w:bidi w:val="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This Subscription Agreement (the “</w:t>
      </w:r>
      <w:r>
        <w:rPr>
          <w:rFonts w:ascii="Arial;Helvetica;Sans-Serif" w:hAnsi="Arial;Helvetica;Sans-Serif"/>
          <w:b/>
          <w:i w:val="false"/>
          <w:caps w:val="false"/>
          <w:smallCaps w:val="false"/>
          <w:sz w:val="20"/>
        </w:rPr>
        <w:t>Agreement</w:t>
      </w:r>
      <w:r>
        <w:rPr>
          <w:rFonts w:ascii="Arial;Helvetica;Sans-Serif" w:hAnsi="Arial;Helvetica;Sans-Serif"/>
          <w:b w:val="false"/>
          <w:i w:val="false"/>
          <w:caps w:val="false"/>
          <w:smallCaps w:val="false"/>
          <w:sz w:val="20"/>
        </w:rPr>
        <w:t xml:space="preserve">”), dated as of [•] June 2026, is made between </w:t>
      </w:r>
      <w:r>
        <w:rPr>
          <w:rFonts w:ascii="Arial;Helvetica;Sans-Serif" w:hAnsi="Arial;Helvetica;Sans-Serif"/>
          <w:b/>
          <w:i w:val="false"/>
          <w:caps w:val="false"/>
          <w:smallCaps w:val="false"/>
          <w:sz w:val="20"/>
        </w:rPr>
        <w:t>Alvotech</w:t>
      </w:r>
      <w:r>
        <w:rPr>
          <w:rFonts w:ascii="Arial;Helvetica;Sans-Serif" w:hAnsi="Arial;Helvetica;Sans-Serif"/>
          <w:b w:val="false"/>
          <w:i w:val="false"/>
          <w:caps w:val="false"/>
          <w:smallCaps w:val="false"/>
          <w:sz w:val="20"/>
        </w:rPr>
        <w:t>, a public limited liability company (</w:t>
      </w:r>
      <w:r>
        <w:rPr>
          <w:rFonts w:ascii="Arial;Helvetica;Sans-Serif" w:hAnsi="Arial;Helvetica;Sans-Serif"/>
          <w:b w:val="false"/>
          <w:i/>
          <w:caps w:val="false"/>
          <w:smallCaps w:val="false"/>
          <w:sz w:val="20"/>
        </w:rPr>
        <w:t>société anonyme</w:t>
      </w:r>
      <w:r>
        <w:rPr>
          <w:rFonts w:ascii="Arial;Helvetica;Sans-Serif" w:hAnsi="Arial;Helvetica;Sans-Serif"/>
          <w:b w:val="false"/>
          <w:i w:val="false"/>
          <w:caps w:val="false"/>
          <w:smallCaps w:val="false"/>
          <w:sz w:val="20"/>
        </w:rPr>
        <w:t>) incorporated and existing under the laws of the Grand Duchy of Luxembourg, having its registered office at 9, rue de Bitbourg, L-1273 Luxembourg, Grand Duchy of Luxembourg, and registered with the Luxembourg Trade and Companies’ Register under number B258884 (the “</w:t>
      </w:r>
      <w:r>
        <w:rPr>
          <w:rFonts w:ascii="Arial;Helvetica;Sans-Serif" w:hAnsi="Arial;Helvetica;Sans-Serif"/>
          <w:b/>
          <w:i w:val="false"/>
          <w:caps w:val="false"/>
          <w:smallCaps w:val="false"/>
          <w:sz w:val="20"/>
        </w:rPr>
        <w:t>Company</w:t>
      </w:r>
      <w:r>
        <w:rPr>
          <w:rFonts w:ascii="Arial;Helvetica;Sans-Serif" w:hAnsi="Arial;Helvetica;Sans-Serif"/>
          <w:b w:val="false"/>
          <w:i w:val="false"/>
          <w:caps w:val="false"/>
          <w:smallCaps w:val="false"/>
          <w:sz w:val="20"/>
        </w:rPr>
        <w:t>”) and the undersigned investor (the “</w:t>
      </w:r>
      <w:r>
        <w:rPr>
          <w:rFonts w:ascii="Arial;Helvetica;Sans-Serif" w:hAnsi="Arial;Helvetica;Sans-Serif"/>
          <w:b/>
          <w:i w:val="false"/>
          <w:caps w:val="false"/>
          <w:smallCaps w:val="false"/>
          <w:sz w:val="20"/>
        </w:rPr>
        <w:t>Investor</w:t>
      </w:r>
      <w:r>
        <w:rPr>
          <w:rFonts w:ascii="Arial;Helvetica;Sans-Serif" w:hAnsi="Arial;Helvetica;San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Background:</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9"/>
        <w:gridCol w:w="9906"/>
      </w:tblGrid>
      <w:tr>
        <w:trPr/>
        <w:tc>
          <w:tcPr>
            <w:tcW w:w="299" w:type="dxa"/>
            <w:tcBorders/>
            <w:vAlign w:val="center"/>
          </w:tcPr>
          <w:p>
            <w:pPr>
              <w:pStyle w:val="TableContents"/>
              <w:bidi w:val="0"/>
              <w:spacing w:before="0" w:after="283"/>
              <w:jc w:val="left"/>
              <w:rPr/>
            </w:pPr>
            <w:r>
              <w:rPr/>
              <w:t>(A)</w:t>
            </w:r>
          </w:p>
        </w:tc>
        <w:tc>
          <w:tcPr>
            <w:tcW w:w="9906" w:type="dxa"/>
            <w:tcBorders/>
            <w:vAlign w:val="center"/>
          </w:tcPr>
          <w:p>
            <w:pPr>
              <w:pStyle w:val="TableContents"/>
              <w:bidi w:val="0"/>
              <w:spacing w:before="0" w:after="283"/>
              <w:jc w:val="both"/>
              <w:rPr/>
            </w:pPr>
            <w:r>
              <w:rPr/>
              <w:t>The Company is a global biotech company specializing in the development and manufacture of biosimilar medicines for patients worldwide, having its shares listed on Nasdaq Iceland Main Market, Nasdaq Stock Market LLC in the USA with its ordinary shares, and Swedish Depositary Receipts on Nasdaq Stockholm.</w:t>
            </w:r>
          </w:p>
        </w:tc>
      </w:tr>
      <w:tr>
        <w:trPr/>
        <w:tc>
          <w:tcPr>
            <w:tcW w:w="299" w:type="dxa"/>
            <w:tcBorders/>
            <w:vAlign w:val="center"/>
          </w:tcPr>
          <w:p>
            <w:pPr>
              <w:pStyle w:val="TableContents"/>
              <w:bidi w:val="0"/>
              <w:spacing w:before="0" w:after="283"/>
              <w:jc w:val="left"/>
              <w:rPr/>
            </w:pPr>
            <w:r>
              <w:rPr/>
              <w:t> </w:t>
            </w:r>
          </w:p>
        </w:tc>
        <w:tc>
          <w:tcPr>
            <w:tcW w:w="9906" w:type="dxa"/>
            <w:tcBorders/>
            <w:vAlign w:val="center"/>
          </w:tcPr>
          <w:p>
            <w:pPr>
              <w:pStyle w:val="TableContents"/>
              <w:bidi w:val="0"/>
              <w:spacing w:before="0" w:after="283"/>
              <w:jc w:val="both"/>
              <w:rPr/>
            </w:pPr>
            <w:r>
              <w:rPr/>
              <w:t> </w:t>
            </w:r>
          </w:p>
        </w:tc>
      </w:tr>
      <w:tr>
        <w:trPr/>
        <w:tc>
          <w:tcPr>
            <w:tcW w:w="299" w:type="dxa"/>
            <w:tcBorders/>
            <w:vAlign w:val="center"/>
          </w:tcPr>
          <w:p>
            <w:pPr>
              <w:pStyle w:val="TableContents"/>
              <w:bidi w:val="0"/>
              <w:spacing w:before="0" w:after="283"/>
              <w:jc w:val="left"/>
              <w:rPr/>
            </w:pPr>
            <w:r>
              <w:rPr/>
              <w:t>(B)</w:t>
            </w:r>
          </w:p>
        </w:tc>
        <w:tc>
          <w:tcPr>
            <w:tcW w:w="9906" w:type="dxa"/>
            <w:tcBorders/>
            <w:vAlign w:val="center"/>
          </w:tcPr>
          <w:p>
            <w:pPr>
              <w:pStyle w:val="TableContents"/>
              <w:bidi w:val="0"/>
              <w:spacing w:before="0" w:after="283"/>
              <w:jc w:val="both"/>
              <w:rPr/>
            </w:pPr>
            <w:r>
              <w:rPr/>
              <w:t>The Company and the Investor wish to record the arrangements agreed between them in relation to the subscription for ordinary shares, USD 0.01 nominal value per share (the “</w:t>
            </w:r>
            <w:r>
              <w:rPr>
                <w:b/>
              </w:rPr>
              <w:t>Ordinary Shares</w:t>
            </w:r>
            <w:r>
              <w:rPr/>
              <w:t>”), issued by the Company.</w:t>
            </w:r>
          </w:p>
        </w:tc>
      </w:tr>
      <w:tr>
        <w:trPr/>
        <w:tc>
          <w:tcPr>
            <w:tcW w:w="299" w:type="dxa"/>
            <w:tcBorders/>
            <w:vAlign w:val="center"/>
          </w:tcPr>
          <w:p>
            <w:pPr>
              <w:pStyle w:val="TableContents"/>
              <w:bidi w:val="0"/>
              <w:spacing w:before="0" w:after="283"/>
              <w:jc w:val="left"/>
              <w:rPr/>
            </w:pPr>
            <w:r>
              <w:rPr/>
              <w:t> </w:t>
            </w:r>
          </w:p>
        </w:tc>
        <w:tc>
          <w:tcPr>
            <w:tcW w:w="9906" w:type="dxa"/>
            <w:tcBorders/>
            <w:vAlign w:val="center"/>
          </w:tcPr>
          <w:p>
            <w:pPr>
              <w:pStyle w:val="TableContents"/>
              <w:bidi w:val="0"/>
              <w:spacing w:before="0" w:after="283"/>
              <w:jc w:val="both"/>
              <w:rPr/>
            </w:pPr>
            <w:r>
              <w:rPr/>
              <w:t> </w:t>
            </w:r>
          </w:p>
        </w:tc>
      </w:tr>
      <w:tr>
        <w:trPr/>
        <w:tc>
          <w:tcPr>
            <w:tcW w:w="299" w:type="dxa"/>
            <w:tcBorders/>
            <w:vAlign w:val="center"/>
          </w:tcPr>
          <w:p>
            <w:pPr>
              <w:pStyle w:val="TableContents"/>
              <w:bidi w:val="0"/>
              <w:spacing w:before="0" w:after="283"/>
              <w:jc w:val="left"/>
              <w:rPr/>
            </w:pPr>
            <w:r>
              <w:rPr/>
              <w:t>(C)</w:t>
            </w:r>
          </w:p>
        </w:tc>
        <w:tc>
          <w:tcPr>
            <w:tcW w:w="9906" w:type="dxa"/>
            <w:tcBorders/>
            <w:vAlign w:val="center"/>
          </w:tcPr>
          <w:p>
            <w:pPr>
              <w:pStyle w:val="TableContents"/>
              <w:bidi w:val="0"/>
              <w:spacing w:before="0" w:after="283"/>
              <w:jc w:val="both"/>
              <w:rPr/>
            </w:pPr>
            <w:r>
              <w:rPr/>
              <w:t>A private placement of ordinary shares, issued by the Company, is made solely to qualified investors (professional clients or eligible counterparties) falling within article 1(4)(a) of Regulation (EU) 2017/1129 (the Prospectus Regulation), which shall include any relevant implementing measures in each member state of the European Economic Area (including Icelandic Act, no. 14/2020, on the prospectus to be published when securities are offered to the public or admitted to trading on a regulated market, and any secondary legislation thereunder) (the “</w:t>
            </w:r>
            <w:r>
              <w:rPr>
                <w:b/>
              </w:rPr>
              <w:t>Private Placement</w:t>
            </w:r>
            <w:r>
              <w:rPr/>
              <w:t>”), and in accordance with Regulation S (“</w:t>
            </w:r>
            <w:r>
              <w:rPr>
                <w:b/>
              </w:rPr>
              <w:t>Regulation S</w:t>
            </w:r>
            <w:r>
              <w:rPr/>
              <w:t>”) promulgated under the U.S. Securities Act of 1933, as amended (the “</w:t>
            </w:r>
            <w:r>
              <w:rPr>
                <w:b/>
              </w:rPr>
              <w:t>Securities Act</w:t>
            </w:r>
            <w:r>
              <w:rPr/>
              <w:t>”).</w:t>
            </w:r>
          </w:p>
        </w:tc>
      </w:tr>
      <w:tr>
        <w:trPr/>
        <w:tc>
          <w:tcPr>
            <w:tcW w:w="299" w:type="dxa"/>
            <w:tcBorders/>
            <w:vAlign w:val="center"/>
          </w:tcPr>
          <w:p>
            <w:pPr>
              <w:pStyle w:val="TableContents"/>
              <w:bidi w:val="0"/>
              <w:spacing w:before="0" w:after="283"/>
              <w:jc w:val="left"/>
              <w:rPr/>
            </w:pPr>
            <w:r>
              <w:rPr/>
              <w:t> </w:t>
            </w:r>
          </w:p>
        </w:tc>
        <w:tc>
          <w:tcPr>
            <w:tcW w:w="9906" w:type="dxa"/>
            <w:tcBorders/>
            <w:vAlign w:val="center"/>
          </w:tcPr>
          <w:p>
            <w:pPr>
              <w:pStyle w:val="TableContents"/>
              <w:bidi w:val="0"/>
              <w:spacing w:before="0" w:after="283"/>
              <w:jc w:val="both"/>
              <w:rPr/>
            </w:pPr>
            <w:r>
              <w:rPr/>
              <w:t> </w:t>
            </w:r>
          </w:p>
        </w:tc>
      </w:tr>
      <w:tr>
        <w:trPr/>
        <w:tc>
          <w:tcPr>
            <w:tcW w:w="299" w:type="dxa"/>
            <w:tcBorders/>
            <w:vAlign w:val="center"/>
          </w:tcPr>
          <w:p>
            <w:pPr>
              <w:pStyle w:val="TableContents"/>
              <w:bidi w:val="0"/>
              <w:spacing w:before="0" w:after="283"/>
              <w:jc w:val="left"/>
              <w:rPr/>
            </w:pPr>
            <w:r>
              <w:rPr/>
              <w:t>(D)</w:t>
            </w:r>
          </w:p>
        </w:tc>
        <w:tc>
          <w:tcPr>
            <w:tcW w:w="9906" w:type="dxa"/>
            <w:tcBorders/>
            <w:vAlign w:val="center"/>
          </w:tcPr>
          <w:p>
            <w:pPr>
              <w:pStyle w:val="TableContents"/>
              <w:bidi w:val="0"/>
              <w:spacing w:before="0" w:after="283"/>
              <w:jc w:val="both"/>
              <w:rPr/>
            </w:pPr>
            <w:r>
              <w:rPr/>
              <w:t>The Company announced on 15 June 2026, that concurrent to the Private Placement, it plans an underwritten public offering (the “</w:t>
            </w:r>
            <w:r>
              <w:rPr>
                <w:b/>
              </w:rPr>
              <w:t>Offering</w:t>
            </w:r>
            <w:r>
              <w:rPr/>
              <w:t>”), made available pursuant to a registration statement on Form F-3, including a base prospectus, that was previously filed with the U.S. Securities and Exchange Commission and any applicable prospectus supplements.</w:t>
            </w:r>
          </w:p>
        </w:tc>
      </w:tr>
      <w:tr>
        <w:trPr/>
        <w:tc>
          <w:tcPr>
            <w:tcW w:w="299" w:type="dxa"/>
            <w:tcBorders/>
            <w:vAlign w:val="center"/>
          </w:tcPr>
          <w:p>
            <w:pPr>
              <w:pStyle w:val="TableContents"/>
              <w:bidi w:val="0"/>
              <w:spacing w:before="0" w:after="283"/>
              <w:jc w:val="left"/>
              <w:rPr/>
            </w:pPr>
            <w:r>
              <w:rPr/>
              <w:t> </w:t>
            </w:r>
          </w:p>
        </w:tc>
        <w:tc>
          <w:tcPr>
            <w:tcW w:w="9906" w:type="dxa"/>
            <w:tcBorders/>
            <w:vAlign w:val="center"/>
          </w:tcPr>
          <w:p>
            <w:pPr>
              <w:pStyle w:val="TableContents"/>
              <w:bidi w:val="0"/>
              <w:spacing w:before="0" w:after="283"/>
              <w:jc w:val="both"/>
              <w:rPr/>
            </w:pPr>
            <w:r>
              <w:rPr/>
              <w:t> </w:t>
            </w:r>
          </w:p>
        </w:tc>
      </w:tr>
      <w:tr>
        <w:trPr/>
        <w:tc>
          <w:tcPr>
            <w:tcW w:w="299" w:type="dxa"/>
            <w:tcBorders/>
            <w:vAlign w:val="center"/>
          </w:tcPr>
          <w:p>
            <w:pPr>
              <w:pStyle w:val="TableContents"/>
              <w:bidi w:val="0"/>
              <w:spacing w:before="0" w:after="283"/>
              <w:jc w:val="left"/>
              <w:rPr/>
            </w:pPr>
            <w:r>
              <w:rPr/>
              <w:t>(E)</w:t>
            </w:r>
          </w:p>
        </w:tc>
        <w:tc>
          <w:tcPr>
            <w:tcW w:w="9906" w:type="dxa"/>
            <w:tcBorders/>
            <w:vAlign w:val="center"/>
          </w:tcPr>
          <w:p>
            <w:pPr>
              <w:pStyle w:val="TableContents"/>
              <w:bidi w:val="0"/>
              <w:spacing w:before="0" w:after="283"/>
              <w:jc w:val="both"/>
              <w:rPr/>
            </w:pPr>
            <w:r>
              <w:rPr/>
              <w:t>The Investor wishes to subscribe to [•] Ordinary Shares (the “</w:t>
            </w:r>
            <w:r>
              <w:rPr>
                <w:b/>
              </w:rPr>
              <w:t>Subscription Shares</w:t>
            </w:r>
            <w:r>
              <w:rPr/>
              <w:t>”) in the Private Placement at a purchase price of [USD/ISK] [•] per share for a total purchase price of [USD/ISK] [•] (the “</w:t>
            </w:r>
            <w:r>
              <w:rPr>
                <w:b/>
              </w:rPr>
              <w:t>Purchase Price</w:t>
            </w:r>
            <w:r>
              <w:rPr/>
              <w:t>”), and subject to the terms and conditions set forth in this Agreement.</w:t>
            </w:r>
          </w:p>
        </w:tc>
      </w:tr>
    </w:tbl>
    <w:p>
      <w:pPr>
        <w:pStyle w:val="TextBody"/>
        <w:bidi w:val="0"/>
        <w:jc w:val="both"/>
        <w:rPr>
          <w:caps w:val="false"/>
          <w:smallCaps w:val="false"/>
        </w:rPr>
      </w:pPr>
      <w:r>
        <w:rPr>
          <w:caps w:val="false"/>
          <w:smallCaps w:val="false"/>
        </w:rPr>
        <w:t> </w:t>
      </w:r>
    </w:p>
    <w:p>
      <w:pPr>
        <w:pStyle w:val="TextBody"/>
        <w:bidi w:val="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Agreed Terms:</w:t>
      </w:r>
    </w:p>
    <w:p>
      <w:pPr>
        <w:pStyle w:val="TextBody"/>
        <w:bidi w:val="0"/>
        <w:jc w:val="both"/>
        <w:rPr>
          <w:caps w:val="false"/>
          <w:smallCaps w:val="false"/>
        </w:rPr>
      </w:pPr>
      <w:r>
        <w:rPr>
          <w:caps w:val="false"/>
          <w:smallCaps w:val="false"/>
        </w:rPr>
        <w:t> </w:t>
      </w:r>
    </w:p>
    <w:tbl>
      <w:tblPr>
        <w:tblW w:w="1495" w:type="dxa"/>
        <w:jc w:val="left"/>
        <w:tblInd w:w="0" w:type="dxa"/>
        <w:tblLayout w:type="fixed"/>
        <w:tblCellMar>
          <w:top w:w="0" w:type="dxa"/>
          <w:left w:w="0" w:type="dxa"/>
          <w:bottom w:w="0" w:type="dxa"/>
          <w:right w:w="0" w:type="dxa"/>
        </w:tblCellMar>
      </w:tblPr>
      <w:tblGrid>
        <w:gridCol w:w="200"/>
        <w:gridCol w:w="1295"/>
      </w:tblGrid>
      <w:tr>
        <w:trPr/>
        <w:tc>
          <w:tcPr>
            <w:tcW w:w="200" w:type="dxa"/>
            <w:tcBorders/>
            <w:vAlign w:val="center"/>
          </w:tcPr>
          <w:p>
            <w:pPr>
              <w:pStyle w:val="TableContents"/>
              <w:bidi w:val="0"/>
              <w:spacing w:before="0" w:after="283"/>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1.</w:t>
            </w:r>
          </w:p>
        </w:tc>
        <w:tc>
          <w:tcPr>
            <w:tcW w:w="1295"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Subscription</w:t>
            </w:r>
            <w:r>
              <w:rPr>
                <w:rFonts w:ascii="Arial;Helvetica;Sans-Serif" w:hAnsi="Arial;Helvetica;Sans-Serif"/>
                <w:b w:val="false"/>
                <w:i w:val="false"/>
                <w:caps w:val="false"/>
                <w:smallCaps w:val="false"/>
                <w:sz w:val="20"/>
              </w:rPr>
              <w:t>.</w:t>
            </w:r>
          </w:p>
        </w:tc>
      </w:tr>
      <w:tr>
        <w:trPr/>
        <w:tc>
          <w:tcPr>
            <w:tcW w:w="200" w:type="dxa"/>
            <w:tcBorders/>
            <w:vAlign w:val="center"/>
          </w:tcPr>
          <w:p>
            <w:pPr>
              <w:pStyle w:val="TableContents"/>
              <w:bidi w:val="0"/>
              <w:spacing w:before="0" w:after="283"/>
              <w:jc w:val="left"/>
              <w:rPr>
                <w:caps w:val="false"/>
                <w:smallCaps w:val="false"/>
              </w:rPr>
            </w:pPr>
            <w:r>
              <w:rPr>
                <w:caps w:val="false"/>
                <w:smallCaps w:val="false"/>
              </w:rPr>
              <w:t> </w:t>
            </w:r>
          </w:p>
        </w:tc>
        <w:tc>
          <w:tcPr>
            <w:tcW w:w="1295"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10205" w:type="dxa"/>
        <w:jc w:val="left"/>
        <w:tblInd w:w="0" w:type="dxa"/>
        <w:tblLayout w:type="fixed"/>
        <w:tblCellMar>
          <w:top w:w="0" w:type="dxa"/>
          <w:left w:w="0" w:type="dxa"/>
          <w:bottom w:w="0" w:type="dxa"/>
          <w:right w:w="0" w:type="dxa"/>
        </w:tblCellMar>
      </w:tblPr>
      <w:tblGrid>
        <w:gridCol w:w="359"/>
        <w:gridCol w:w="9846"/>
      </w:tblGrid>
      <w:tr>
        <w:trPr/>
        <w:tc>
          <w:tcPr>
            <w:tcW w:w="359"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1.1.</w:t>
            </w:r>
          </w:p>
        </w:tc>
        <w:tc>
          <w:tcPr>
            <w:tcW w:w="9846"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Investor hereby expressly and irrevocably undertakes to subscribe to the Subscription Shares for the Purchase Price.</w:t>
            </w:r>
          </w:p>
        </w:tc>
      </w:tr>
    </w:tbl>
    <w:tbl>
      <w:tblPr>
        <w:tblW w:w="350" w:type="dxa"/>
        <w:jc w:val="left"/>
        <w:tblInd w:w="0" w:type="dxa"/>
        <w:tblLayout w:type="fixed"/>
        <w:tblCellMar>
          <w:top w:w="0" w:type="dxa"/>
          <w:left w:w="0" w:type="dxa"/>
          <w:bottom w:w="0" w:type="dxa"/>
          <w:right w:w="0" w:type="dxa"/>
        </w:tblCellMar>
      </w:tblPr>
      <w:tblGrid>
        <w:gridCol w:w="75"/>
        <w:gridCol w:w="200"/>
        <w:gridCol w:w="7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center"/>
              <w:rPr/>
            </w:pPr>
            <w:r>
              <w:rPr/>
              <w:t> </w:t>
            </w:r>
            <w:r>
              <w:rPr/>
              <w:t>1</w:t>
            </w:r>
          </w:p>
        </w:tc>
        <w:tc>
          <w:tcPr>
            <w:tcW w:w="75" w:type="dxa"/>
            <w:tcBorders/>
            <w:vAlign w:val="center"/>
          </w:tcPr>
          <w:p>
            <w:pPr>
              <w:pStyle w:val="TableContents"/>
              <w:bidi w:val="0"/>
              <w:spacing w:before="0" w:after="283"/>
              <w:jc w:val="left"/>
              <w:rPr/>
            </w:pPr>
            <w:r>
              <w:rPr/>
              <w:t> </w:t>
            </w:r>
          </w:p>
        </w:tc>
      </w:tr>
    </w:tbl>
    <w:tbl>
      <w:tblPr>
        <w:tblW w:w="1990" w:type="dxa"/>
        <w:jc w:val="left"/>
        <w:tblInd w:w="0" w:type="dxa"/>
        <w:tblLayout w:type="fixed"/>
        <w:tblCellMar>
          <w:top w:w="0" w:type="dxa"/>
          <w:left w:w="0" w:type="dxa"/>
          <w:bottom w:w="0" w:type="dxa"/>
          <w:right w:w="0" w:type="dxa"/>
        </w:tblCellMar>
      </w:tblPr>
      <w:tblGrid>
        <w:gridCol w:w="200"/>
        <w:gridCol w:w="1790"/>
      </w:tblGrid>
      <w:tr>
        <w:trPr/>
        <w:tc>
          <w:tcPr>
            <w:tcW w:w="200" w:type="dxa"/>
            <w:tcBorders/>
            <w:vAlign w:val="center"/>
          </w:tcPr>
          <w:p>
            <w:pPr>
              <w:pStyle w:val="TableContents"/>
              <w:bidi w:val="0"/>
              <w:spacing w:before="0" w:after="283"/>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2.</w:t>
            </w:r>
          </w:p>
        </w:tc>
        <w:tc>
          <w:tcPr>
            <w:tcW w:w="1790" w:type="dxa"/>
            <w:tcBorders/>
            <w:vAlign w:val="center"/>
          </w:tcPr>
          <w:p>
            <w:pPr>
              <w:pStyle w:val="TableContents"/>
              <w:bidi w:val="0"/>
              <w:spacing w:before="0" w:after="283"/>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Closing Condition.</w:t>
            </w:r>
          </w:p>
        </w:tc>
      </w:tr>
      <w:tr>
        <w:trPr/>
        <w:tc>
          <w:tcPr>
            <w:tcW w:w="200" w:type="dxa"/>
            <w:tcBorders/>
            <w:vAlign w:val="center"/>
          </w:tcPr>
          <w:p>
            <w:pPr>
              <w:pStyle w:val="TableContents"/>
              <w:bidi w:val="0"/>
              <w:spacing w:before="0" w:after="283"/>
              <w:jc w:val="left"/>
              <w:rPr>
                <w:caps w:val="false"/>
                <w:smallCaps w:val="false"/>
              </w:rPr>
            </w:pPr>
            <w:r>
              <w:rPr>
                <w:caps w:val="false"/>
                <w:smallCaps w:val="false"/>
              </w:rPr>
              <w:t> </w:t>
            </w:r>
          </w:p>
        </w:tc>
        <w:tc>
          <w:tcPr>
            <w:tcW w:w="1790"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10205" w:type="dxa"/>
        <w:jc w:val="left"/>
        <w:tblInd w:w="0" w:type="dxa"/>
        <w:tblLayout w:type="fixed"/>
        <w:tblCellMar>
          <w:top w:w="0" w:type="dxa"/>
          <w:left w:w="0" w:type="dxa"/>
          <w:bottom w:w="0" w:type="dxa"/>
          <w:right w:w="0" w:type="dxa"/>
        </w:tblCellMar>
      </w:tblPr>
      <w:tblGrid>
        <w:gridCol w:w="362"/>
        <w:gridCol w:w="9843"/>
      </w:tblGrid>
      <w:tr>
        <w:trPr/>
        <w:tc>
          <w:tcPr>
            <w:tcW w:w="362" w:type="dxa"/>
            <w:tcBorders/>
            <w:vAlign w:val="center"/>
          </w:tcPr>
          <w:p>
            <w:pPr>
              <w:pStyle w:val="TableContents"/>
              <w:bidi w:val="0"/>
              <w:spacing w:before="0" w:after="283"/>
              <w:jc w:val="left"/>
              <w:rPr/>
            </w:pPr>
            <w:r>
              <w:rPr/>
              <w:t>2.1.</w:t>
            </w:r>
          </w:p>
        </w:tc>
        <w:tc>
          <w:tcPr>
            <w:tcW w:w="9843" w:type="dxa"/>
            <w:tcBorders/>
            <w:vAlign w:val="center"/>
          </w:tcPr>
          <w:p>
            <w:pPr>
              <w:pStyle w:val="TableContents"/>
              <w:bidi w:val="0"/>
              <w:spacing w:before="0" w:after="283"/>
              <w:jc w:val="both"/>
              <w:rPr/>
            </w:pPr>
            <w:r>
              <w:rPr/>
              <w:t>Closing of this Agreement and the obligations of the parties in respect of the issue and subscription to the Subscription Shares are subject to closing of the Offering.</w:t>
            </w:r>
          </w:p>
        </w:tc>
      </w:tr>
      <w:tr>
        <w:trPr/>
        <w:tc>
          <w:tcPr>
            <w:tcW w:w="362" w:type="dxa"/>
            <w:tcBorders/>
            <w:vAlign w:val="center"/>
          </w:tcPr>
          <w:p>
            <w:pPr>
              <w:pStyle w:val="TableContents"/>
              <w:bidi w:val="0"/>
              <w:spacing w:before="0" w:after="283"/>
              <w:jc w:val="left"/>
              <w:rPr/>
            </w:pPr>
            <w:r>
              <w:rPr/>
              <w:t> </w:t>
            </w:r>
          </w:p>
        </w:tc>
        <w:tc>
          <w:tcPr>
            <w:tcW w:w="9843" w:type="dxa"/>
            <w:tcBorders/>
            <w:vAlign w:val="center"/>
          </w:tcPr>
          <w:p>
            <w:pPr>
              <w:pStyle w:val="TableContents"/>
              <w:bidi w:val="0"/>
              <w:spacing w:before="0" w:after="283"/>
              <w:jc w:val="both"/>
              <w:rPr/>
            </w:pPr>
            <w:r>
              <w:rPr/>
              <w:t> </w:t>
            </w:r>
          </w:p>
        </w:tc>
      </w:tr>
      <w:tr>
        <w:trPr/>
        <w:tc>
          <w:tcPr>
            <w:tcW w:w="362" w:type="dxa"/>
            <w:tcBorders/>
            <w:vAlign w:val="center"/>
          </w:tcPr>
          <w:p>
            <w:pPr>
              <w:pStyle w:val="TableContents"/>
              <w:bidi w:val="0"/>
              <w:spacing w:before="0" w:after="283"/>
              <w:jc w:val="left"/>
              <w:rPr/>
            </w:pPr>
            <w:r>
              <w:rPr/>
              <w:t>2.2.</w:t>
            </w:r>
          </w:p>
        </w:tc>
        <w:tc>
          <w:tcPr>
            <w:tcW w:w="9843" w:type="dxa"/>
            <w:tcBorders/>
            <w:vAlign w:val="center"/>
          </w:tcPr>
          <w:p>
            <w:pPr>
              <w:pStyle w:val="TableContents"/>
              <w:bidi w:val="0"/>
              <w:spacing w:before="0" w:after="283"/>
              <w:jc w:val="both"/>
              <w:rPr/>
            </w:pPr>
            <w:r>
              <w:rPr/>
              <w:t>In addition to the Closing Condition, the obligations of the Company in respect of the issue of the Subscription Shares are subject to the Company receiving the Purchase Price in accordance with this Agreement.</w:t>
            </w:r>
          </w:p>
        </w:tc>
      </w:tr>
      <w:tr>
        <w:trPr/>
        <w:tc>
          <w:tcPr>
            <w:tcW w:w="362" w:type="dxa"/>
            <w:tcBorders/>
            <w:vAlign w:val="center"/>
          </w:tcPr>
          <w:p>
            <w:pPr>
              <w:pStyle w:val="TableContents"/>
              <w:bidi w:val="0"/>
              <w:spacing w:before="0" w:after="283"/>
              <w:jc w:val="left"/>
              <w:rPr/>
            </w:pPr>
            <w:r>
              <w:rPr/>
              <w:t> </w:t>
            </w:r>
          </w:p>
        </w:tc>
        <w:tc>
          <w:tcPr>
            <w:tcW w:w="9843" w:type="dxa"/>
            <w:tcBorders/>
            <w:vAlign w:val="center"/>
          </w:tcPr>
          <w:p>
            <w:pPr>
              <w:pStyle w:val="TableContents"/>
              <w:bidi w:val="0"/>
              <w:spacing w:before="0" w:after="283"/>
              <w:jc w:val="both"/>
              <w:rPr/>
            </w:pPr>
            <w:r>
              <w:rPr/>
              <w:t> </w:t>
            </w:r>
          </w:p>
        </w:tc>
      </w:tr>
    </w:tbl>
    <w:tbl>
      <w:tblPr>
        <w:tblW w:w="2320" w:type="dxa"/>
        <w:jc w:val="left"/>
        <w:tblInd w:w="0" w:type="dxa"/>
        <w:tblLayout w:type="fixed"/>
        <w:tblCellMar>
          <w:top w:w="0" w:type="dxa"/>
          <w:left w:w="0" w:type="dxa"/>
          <w:bottom w:w="0" w:type="dxa"/>
          <w:right w:w="0" w:type="dxa"/>
        </w:tblCellMar>
      </w:tblPr>
      <w:tblGrid>
        <w:gridCol w:w="200"/>
        <w:gridCol w:w="2120"/>
      </w:tblGrid>
      <w:tr>
        <w:trPr/>
        <w:tc>
          <w:tcPr>
            <w:tcW w:w="200" w:type="dxa"/>
            <w:tcBorders/>
            <w:vAlign w:val="center"/>
          </w:tcPr>
          <w:p>
            <w:pPr>
              <w:pStyle w:val="TableContents"/>
              <w:bidi w:val="0"/>
              <w:spacing w:before="0" w:after="283"/>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3.</w:t>
            </w:r>
          </w:p>
        </w:tc>
        <w:tc>
          <w:tcPr>
            <w:tcW w:w="2120"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Payment and Delivery</w:t>
            </w:r>
            <w:r>
              <w:rPr>
                <w:rFonts w:ascii="Arial;Helvetica;Sans-Serif" w:hAnsi="Arial;Helvetica;Sans-Serif"/>
                <w:b w:val="false"/>
                <w:i w:val="false"/>
                <w:caps w:val="false"/>
                <w:smallCaps w:val="false"/>
                <w:sz w:val="20"/>
              </w:rPr>
              <w:t>.</w:t>
            </w:r>
          </w:p>
        </w:tc>
      </w:tr>
      <w:tr>
        <w:trPr/>
        <w:tc>
          <w:tcPr>
            <w:tcW w:w="200" w:type="dxa"/>
            <w:tcBorders/>
            <w:vAlign w:val="center"/>
          </w:tcPr>
          <w:p>
            <w:pPr>
              <w:pStyle w:val="TableContents"/>
              <w:bidi w:val="0"/>
              <w:spacing w:before="0" w:after="283"/>
              <w:jc w:val="left"/>
              <w:rPr>
                <w:caps w:val="false"/>
                <w:smallCaps w:val="false"/>
              </w:rPr>
            </w:pPr>
            <w:r>
              <w:rPr>
                <w:caps w:val="false"/>
                <w:smallCaps w:val="false"/>
              </w:rPr>
              <w:t> </w:t>
            </w:r>
          </w:p>
        </w:tc>
        <w:tc>
          <w:tcPr>
            <w:tcW w:w="2120"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10205" w:type="dxa"/>
        <w:jc w:val="left"/>
        <w:tblInd w:w="0" w:type="dxa"/>
        <w:tblLayout w:type="fixed"/>
        <w:tblCellMar>
          <w:top w:w="0" w:type="dxa"/>
          <w:left w:w="0" w:type="dxa"/>
          <w:bottom w:w="0" w:type="dxa"/>
          <w:right w:w="0" w:type="dxa"/>
        </w:tblCellMar>
      </w:tblPr>
      <w:tblGrid>
        <w:gridCol w:w="350"/>
        <w:gridCol w:w="9855"/>
      </w:tblGrid>
      <w:tr>
        <w:trPr/>
        <w:tc>
          <w:tcPr>
            <w:tcW w:w="350" w:type="dxa"/>
            <w:tcBorders/>
            <w:vAlign w:val="center"/>
          </w:tcPr>
          <w:p>
            <w:pPr>
              <w:pStyle w:val="TableContents"/>
              <w:bidi w:val="0"/>
              <w:spacing w:before="0" w:after="283"/>
              <w:jc w:val="left"/>
              <w:rPr/>
            </w:pPr>
            <w:r>
              <w:rPr/>
              <w:t>3.1.</w:t>
            </w:r>
          </w:p>
        </w:tc>
        <w:tc>
          <w:tcPr>
            <w:tcW w:w="9855" w:type="dxa"/>
            <w:tcBorders/>
            <w:vAlign w:val="center"/>
          </w:tcPr>
          <w:p>
            <w:pPr>
              <w:pStyle w:val="TableContents"/>
              <w:bidi w:val="0"/>
              <w:spacing w:before="0" w:after="283"/>
              <w:jc w:val="both"/>
              <w:rPr/>
            </w:pPr>
            <w:r>
              <w:rPr/>
              <w:t>Payment of the Purchase Price shall take place on 22 June 2026 or such other date as agreed by the Company and the Investor (the “</w:t>
            </w:r>
            <w:r>
              <w:rPr>
                <w:b/>
              </w:rPr>
              <w:t>Payment Date</w:t>
            </w:r>
            <w:r>
              <w:rPr/>
              <w:t>”).</w:t>
            </w:r>
          </w:p>
        </w:tc>
      </w:tr>
      <w:tr>
        <w:trPr/>
        <w:tc>
          <w:tcPr>
            <w:tcW w:w="35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283"/>
              <w:jc w:val="both"/>
              <w:rPr/>
            </w:pPr>
            <w:r>
              <w:rPr/>
              <w:t> </w:t>
            </w:r>
          </w:p>
        </w:tc>
      </w:tr>
      <w:tr>
        <w:trPr/>
        <w:tc>
          <w:tcPr>
            <w:tcW w:w="350" w:type="dxa"/>
            <w:tcBorders/>
            <w:vAlign w:val="center"/>
          </w:tcPr>
          <w:p>
            <w:pPr>
              <w:pStyle w:val="TableContents"/>
              <w:bidi w:val="0"/>
              <w:spacing w:before="0" w:after="283"/>
              <w:jc w:val="left"/>
              <w:rPr/>
            </w:pPr>
            <w:r>
              <w:rPr/>
              <w:t>3.2.</w:t>
            </w:r>
          </w:p>
        </w:tc>
        <w:tc>
          <w:tcPr>
            <w:tcW w:w="9855" w:type="dxa"/>
            <w:tcBorders/>
            <w:vAlign w:val="center"/>
          </w:tcPr>
          <w:p>
            <w:pPr>
              <w:pStyle w:val="TableContents"/>
              <w:bidi w:val="0"/>
              <w:spacing w:before="0" w:after="283"/>
              <w:jc w:val="both"/>
              <w:rPr/>
            </w:pPr>
            <w:r>
              <w:rPr/>
              <w:t>At the Payment Date, the Investor shall pay the Purchase Price in immediately available funds into a bank account, as designated by the Company.</w:t>
            </w:r>
          </w:p>
        </w:tc>
      </w:tr>
      <w:tr>
        <w:trPr/>
        <w:tc>
          <w:tcPr>
            <w:tcW w:w="35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283"/>
              <w:jc w:val="both"/>
              <w:rPr/>
            </w:pPr>
            <w:r>
              <w:rPr/>
              <w:t> </w:t>
            </w:r>
          </w:p>
        </w:tc>
      </w:tr>
      <w:tr>
        <w:trPr/>
        <w:tc>
          <w:tcPr>
            <w:tcW w:w="350" w:type="dxa"/>
            <w:tcBorders/>
            <w:vAlign w:val="center"/>
          </w:tcPr>
          <w:p>
            <w:pPr>
              <w:pStyle w:val="TableContents"/>
              <w:bidi w:val="0"/>
              <w:spacing w:before="0" w:after="283"/>
              <w:jc w:val="left"/>
              <w:rPr/>
            </w:pPr>
            <w:r>
              <w:rPr/>
              <w:t>3.3.</w:t>
            </w:r>
          </w:p>
        </w:tc>
        <w:tc>
          <w:tcPr>
            <w:tcW w:w="9855" w:type="dxa"/>
            <w:tcBorders/>
            <w:vAlign w:val="center"/>
          </w:tcPr>
          <w:p>
            <w:pPr>
              <w:pStyle w:val="TableContents"/>
              <w:bidi w:val="0"/>
              <w:spacing w:before="0" w:after="283"/>
              <w:jc w:val="both"/>
              <w:rPr/>
            </w:pPr>
            <w:r>
              <w:rPr/>
              <w:t>On the date of receipt of the Purchase Price, the Company shall issue the Subscription Shares and register the Investor as the owner of the Subscription Shares in the share registry of the Company, file a notification to the appropriate authorities, of the share capital increase, and subsequently deliver the Subscription Shares to the Investor (according to Investor’s instructions).</w:t>
            </w:r>
          </w:p>
        </w:tc>
      </w:tr>
      <w:tr>
        <w:trPr/>
        <w:tc>
          <w:tcPr>
            <w:tcW w:w="35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283"/>
              <w:jc w:val="both"/>
              <w:rPr/>
            </w:pPr>
            <w:r>
              <w:rPr/>
              <w:t> </w:t>
            </w:r>
          </w:p>
        </w:tc>
      </w:tr>
    </w:tbl>
    <w:tbl>
      <w:tblPr>
        <w:tblW w:w="4195" w:type="dxa"/>
        <w:jc w:val="left"/>
        <w:tblInd w:w="0" w:type="dxa"/>
        <w:tblLayout w:type="fixed"/>
        <w:tblCellMar>
          <w:top w:w="0" w:type="dxa"/>
          <w:left w:w="0" w:type="dxa"/>
          <w:bottom w:w="0" w:type="dxa"/>
          <w:right w:w="0" w:type="dxa"/>
        </w:tblCellMar>
      </w:tblPr>
      <w:tblGrid>
        <w:gridCol w:w="200"/>
        <w:gridCol w:w="3995"/>
      </w:tblGrid>
      <w:tr>
        <w:trPr/>
        <w:tc>
          <w:tcPr>
            <w:tcW w:w="200" w:type="dxa"/>
            <w:tcBorders/>
            <w:vAlign w:val="center"/>
          </w:tcPr>
          <w:p>
            <w:pPr>
              <w:pStyle w:val="TableContents"/>
              <w:bidi w:val="0"/>
              <w:spacing w:before="0" w:after="283"/>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4.</w:t>
            </w:r>
          </w:p>
        </w:tc>
        <w:tc>
          <w:tcPr>
            <w:tcW w:w="3995" w:type="dxa"/>
            <w:tcBorders/>
            <w:vAlign w:val="center"/>
          </w:tcPr>
          <w:p>
            <w:pPr>
              <w:pStyle w:val="TableContents"/>
              <w:bidi w:val="0"/>
              <w:spacing w:before="0" w:after="283"/>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Company Representations and Warranties.</w:t>
            </w:r>
          </w:p>
        </w:tc>
      </w:tr>
      <w:tr>
        <w:trPr/>
        <w:tc>
          <w:tcPr>
            <w:tcW w:w="200" w:type="dxa"/>
            <w:tcBorders/>
            <w:vAlign w:val="center"/>
          </w:tcPr>
          <w:p>
            <w:pPr>
              <w:pStyle w:val="TableContents"/>
              <w:bidi w:val="0"/>
              <w:spacing w:before="0" w:after="283"/>
              <w:jc w:val="left"/>
              <w:rPr>
                <w:caps w:val="false"/>
                <w:smallCaps w:val="false"/>
              </w:rPr>
            </w:pPr>
            <w:r>
              <w:rPr>
                <w:caps w:val="false"/>
                <w:smallCaps w:val="false"/>
              </w:rPr>
              <w:t> </w:t>
            </w:r>
          </w:p>
        </w:tc>
        <w:tc>
          <w:tcPr>
            <w:tcW w:w="3995"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10205" w:type="dxa"/>
        <w:jc w:val="left"/>
        <w:tblInd w:w="0" w:type="dxa"/>
        <w:tblLayout w:type="fixed"/>
        <w:tblCellMar>
          <w:top w:w="0" w:type="dxa"/>
          <w:left w:w="0" w:type="dxa"/>
          <w:bottom w:w="0" w:type="dxa"/>
          <w:right w:w="0" w:type="dxa"/>
        </w:tblCellMar>
      </w:tblPr>
      <w:tblGrid>
        <w:gridCol w:w="349"/>
        <w:gridCol w:w="9856"/>
      </w:tblGrid>
      <w:tr>
        <w:trPr/>
        <w:tc>
          <w:tcPr>
            <w:tcW w:w="349" w:type="dxa"/>
            <w:tcBorders/>
            <w:vAlign w:val="center"/>
          </w:tcPr>
          <w:p>
            <w:pPr>
              <w:pStyle w:val="TableContents"/>
              <w:bidi w:val="0"/>
              <w:spacing w:before="0" w:after="283"/>
              <w:jc w:val="left"/>
              <w:rPr/>
            </w:pPr>
            <w:r>
              <w:rPr/>
              <w:t>4.1.</w:t>
            </w:r>
          </w:p>
        </w:tc>
        <w:tc>
          <w:tcPr>
            <w:tcW w:w="9856" w:type="dxa"/>
            <w:tcBorders/>
            <w:vAlign w:val="center"/>
          </w:tcPr>
          <w:p>
            <w:pPr>
              <w:pStyle w:val="TableContents"/>
              <w:bidi w:val="0"/>
              <w:spacing w:before="0" w:after="283"/>
              <w:jc w:val="both"/>
              <w:rPr/>
            </w:pPr>
            <w:r>
              <w:rPr/>
              <w:t>The Company has been duly incorporated or otherwise organized and is validly existing as a corporation under the laws of the jurisdiction of its organization and has corporate power and authority to own, lease and operate its properties and to conduct its business as currently conducted.</w:t>
            </w:r>
          </w:p>
        </w:tc>
      </w:tr>
      <w:tr>
        <w:trPr/>
        <w:tc>
          <w:tcPr>
            <w:tcW w:w="349" w:type="dxa"/>
            <w:tcBorders/>
            <w:vAlign w:val="center"/>
          </w:tcPr>
          <w:p>
            <w:pPr>
              <w:pStyle w:val="TableContents"/>
              <w:bidi w:val="0"/>
              <w:spacing w:before="0" w:after="283"/>
              <w:jc w:val="left"/>
              <w:rPr/>
            </w:pPr>
            <w:r>
              <w:rPr/>
              <w:t> </w:t>
            </w:r>
          </w:p>
        </w:tc>
        <w:tc>
          <w:tcPr>
            <w:tcW w:w="9856" w:type="dxa"/>
            <w:tcBorders/>
            <w:vAlign w:val="center"/>
          </w:tcPr>
          <w:p>
            <w:pPr>
              <w:pStyle w:val="TableContents"/>
              <w:bidi w:val="0"/>
              <w:spacing w:before="0" w:after="283"/>
              <w:jc w:val="both"/>
              <w:rPr/>
            </w:pPr>
            <w:r>
              <w:rPr/>
              <w:t> </w:t>
            </w:r>
          </w:p>
        </w:tc>
      </w:tr>
      <w:tr>
        <w:trPr/>
        <w:tc>
          <w:tcPr>
            <w:tcW w:w="349" w:type="dxa"/>
            <w:tcBorders/>
            <w:vAlign w:val="center"/>
          </w:tcPr>
          <w:p>
            <w:pPr>
              <w:pStyle w:val="TableContents"/>
              <w:bidi w:val="0"/>
              <w:spacing w:before="0" w:after="283"/>
              <w:jc w:val="left"/>
              <w:rPr/>
            </w:pPr>
            <w:r>
              <w:rPr/>
              <w:t>4.2.</w:t>
            </w:r>
          </w:p>
        </w:tc>
        <w:tc>
          <w:tcPr>
            <w:tcW w:w="9856" w:type="dxa"/>
            <w:tcBorders/>
            <w:vAlign w:val="center"/>
          </w:tcPr>
          <w:p>
            <w:pPr>
              <w:pStyle w:val="TableContents"/>
              <w:bidi w:val="0"/>
              <w:spacing w:before="0" w:after="283"/>
              <w:jc w:val="both"/>
              <w:rPr/>
            </w:pPr>
            <w:r>
              <w:rPr/>
              <w:t>The Subscription Shares have been duly authorized for issuance and sale to the Investor pursuant to this Agreement and, when issued and delivered by the Company pursuant to this Agreement against payment of the Purchase Price, will be validly issued and fully paid and non-assessable.</w:t>
            </w:r>
          </w:p>
        </w:tc>
      </w:tr>
      <w:tr>
        <w:trPr/>
        <w:tc>
          <w:tcPr>
            <w:tcW w:w="349" w:type="dxa"/>
            <w:tcBorders/>
            <w:vAlign w:val="center"/>
          </w:tcPr>
          <w:p>
            <w:pPr>
              <w:pStyle w:val="TableContents"/>
              <w:bidi w:val="0"/>
              <w:spacing w:before="0" w:after="283"/>
              <w:jc w:val="left"/>
              <w:rPr/>
            </w:pPr>
            <w:r>
              <w:rPr/>
              <w:t> </w:t>
            </w:r>
          </w:p>
        </w:tc>
        <w:tc>
          <w:tcPr>
            <w:tcW w:w="9856" w:type="dxa"/>
            <w:tcBorders/>
            <w:vAlign w:val="center"/>
          </w:tcPr>
          <w:p>
            <w:pPr>
              <w:pStyle w:val="TableContents"/>
              <w:bidi w:val="0"/>
              <w:spacing w:before="0" w:after="283"/>
              <w:jc w:val="both"/>
              <w:rPr/>
            </w:pPr>
            <w:r>
              <w:rPr/>
              <w:t> </w:t>
            </w:r>
          </w:p>
        </w:tc>
      </w:tr>
      <w:tr>
        <w:trPr/>
        <w:tc>
          <w:tcPr>
            <w:tcW w:w="349" w:type="dxa"/>
            <w:tcBorders/>
            <w:vAlign w:val="center"/>
          </w:tcPr>
          <w:p>
            <w:pPr>
              <w:pStyle w:val="TableContents"/>
              <w:bidi w:val="0"/>
              <w:spacing w:before="0" w:after="283"/>
              <w:jc w:val="left"/>
              <w:rPr/>
            </w:pPr>
            <w:r>
              <w:rPr/>
              <w:t>4.3.</w:t>
            </w:r>
          </w:p>
        </w:tc>
        <w:tc>
          <w:tcPr>
            <w:tcW w:w="9856" w:type="dxa"/>
            <w:tcBorders/>
            <w:vAlign w:val="center"/>
          </w:tcPr>
          <w:p>
            <w:pPr>
              <w:pStyle w:val="TableContents"/>
              <w:bidi w:val="0"/>
              <w:spacing w:before="0" w:after="283"/>
              <w:jc w:val="both"/>
              <w:rPr/>
            </w:pPr>
            <w:r>
              <w:rPr/>
              <w:t>This Agreement has been duly authorized, executed and delivered by the Company.</w:t>
            </w:r>
          </w:p>
        </w:tc>
      </w:tr>
      <w:tr>
        <w:trPr/>
        <w:tc>
          <w:tcPr>
            <w:tcW w:w="349" w:type="dxa"/>
            <w:tcBorders/>
            <w:vAlign w:val="center"/>
          </w:tcPr>
          <w:p>
            <w:pPr>
              <w:pStyle w:val="TableContents"/>
              <w:bidi w:val="0"/>
              <w:spacing w:before="0" w:after="283"/>
              <w:jc w:val="left"/>
              <w:rPr/>
            </w:pPr>
            <w:r>
              <w:rPr/>
              <w:t> </w:t>
            </w:r>
          </w:p>
        </w:tc>
        <w:tc>
          <w:tcPr>
            <w:tcW w:w="9856" w:type="dxa"/>
            <w:tcBorders/>
            <w:vAlign w:val="center"/>
          </w:tcPr>
          <w:p>
            <w:pPr>
              <w:pStyle w:val="TableContents"/>
              <w:bidi w:val="0"/>
              <w:spacing w:before="0" w:after="283"/>
              <w:jc w:val="both"/>
              <w:rPr/>
            </w:pPr>
            <w:r>
              <w:rPr/>
              <w:t> </w:t>
            </w:r>
          </w:p>
        </w:tc>
      </w:tr>
      <w:tr>
        <w:trPr/>
        <w:tc>
          <w:tcPr>
            <w:tcW w:w="349" w:type="dxa"/>
            <w:tcBorders/>
            <w:vAlign w:val="center"/>
          </w:tcPr>
          <w:p>
            <w:pPr>
              <w:pStyle w:val="TableContents"/>
              <w:bidi w:val="0"/>
              <w:spacing w:before="0" w:after="283"/>
              <w:jc w:val="left"/>
              <w:rPr/>
            </w:pPr>
            <w:r>
              <w:rPr/>
              <w:t>4.4.</w:t>
            </w:r>
          </w:p>
        </w:tc>
        <w:tc>
          <w:tcPr>
            <w:tcW w:w="9856" w:type="dxa"/>
            <w:tcBorders/>
            <w:vAlign w:val="center"/>
          </w:tcPr>
          <w:p>
            <w:pPr>
              <w:pStyle w:val="TableContents"/>
              <w:bidi w:val="0"/>
              <w:spacing w:before="0" w:after="283"/>
              <w:jc w:val="both"/>
              <w:rPr/>
            </w:pPr>
            <w:r>
              <w:rPr/>
              <w:t>The execution and delivery by the Company of this Agreement, the performance of obligations by the Company of this Agreement and the consummation of the transactions contemplated hereby do not and will not (i) contravene the terms of the constitutional documents of the Company, or (ii) violate any law, determination or award applicable to any of the Company or its properties or assets.</w:t>
            </w:r>
          </w:p>
        </w:tc>
      </w:tr>
      <w:tr>
        <w:trPr/>
        <w:tc>
          <w:tcPr>
            <w:tcW w:w="349" w:type="dxa"/>
            <w:tcBorders/>
            <w:vAlign w:val="center"/>
          </w:tcPr>
          <w:p>
            <w:pPr>
              <w:pStyle w:val="TableContents"/>
              <w:bidi w:val="0"/>
              <w:spacing w:before="0" w:after="283"/>
              <w:jc w:val="left"/>
              <w:rPr/>
            </w:pPr>
            <w:r>
              <w:rPr/>
              <w:t> </w:t>
            </w:r>
          </w:p>
        </w:tc>
        <w:tc>
          <w:tcPr>
            <w:tcW w:w="9856" w:type="dxa"/>
            <w:tcBorders/>
            <w:vAlign w:val="center"/>
          </w:tcPr>
          <w:p>
            <w:pPr>
              <w:pStyle w:val="TableContents"/>
              <w:bidi w:val="0"/>
              <w:spacing w:before="0" w:after="283"/>
              <w:jc w:val="both"/>
              <w:rPr/>
            </w:pPr>
            <w:r>
              <w:rPr/>
              <w:t> </w:t>
            </w:r>
          </w:p>
        </w:tc>
      </w:tr>
      <w:tr>
        <w:trPr/>
        <w:tc>
          <w:tcPr>
            <w:tcW w:w="349" w:type="dxa"/>
            <w:tcBorders/>
            <w:vAlign w:val="center"/>
          </w:tcPr>
          <w:p>
            <w:pPr>
              <w:pStyle w:val="TableContents"/>
              <w:bidi w:val="0"/>
              <w:spacing w:before="0" w:after="283"/>
              <w:jc w:val="left"/>
              <w:rPr/>
            </w:pPr>
            <w:r>
              <w:rPr/>
              <w:t>4.5.</w:t>
            </w:r>
          </w:p>
        </w:tc>
        <w:tc>
          <w:tcPr>
            <w:tcW w:w="9856" w:type="dxa"/>
            <w:tcBorders/>
            <w:vAlign w:val="center"/>
          </w:tcPr>
          <w:p>
            <w:pPr>
              <w:pStyle w:val="TableContents"/>
              <w:bidi w:val="0"/>
              <w:spacing w:before="0" w:after="283"/>
              <w:jc w:val="both"/>
              <w:rPr/>
            </w:pPr>
            <w:r>
              <w:rPr/>
              <w:t>None of the Company or any of their affiliates (as defined in Rule 144 under the Securities Act) has directly or through any agent engaged in any directed selling efforts within the meaning of Rule 902(c) of Regulation S with respect to the Subscription Shares.</w:t>
            </w:r>
          </w:p>
        </w:tc>
      </w:tr>
      <w:tr>
        <w:trPr/>
        <w:tc>
          <w:tcPr>
            <w:tcW w:w="349" w:type="dxa"/>
            <w:tcBorders/>
            <w:vAlign w:val="center"/>
          </w:tcPr>
          <w:p>
            <w:pPr>
              <w:pStyle w:val="TableContents"/>
              <w:bidi w:val="0"/>
              <w:spacing w:before="0" w:after="283"/>
              <w:jc w:val="left"/>
              <w:rPr/>
            </w:pPr>
            <w:r>
              <w:rPr/>
              <w:t> </w:t>
            </w:r>
          </w:p>
        </w:tc>
        <w:tc>
          <w:tcPr>
            <w:tcW w:w="9856" w:type="dxa"/>
            <w:tcBorders/>
            <w:vAlign w:val="center"/>
          </w:tcPr>
          <w:p>
            <w:pPr>
              <w:pStyle w:val="TableContents"/>
              <w:bidi w:val="0"/>
              <w:spacing w:before="0" w:after="283"/>
              <w:jc w:val="both"/>
              <w:rPr/>
            </w:pPr>
            <w:r>
              <w:rPr/>
              <w:t> </w:t>
            </w:r>
          </w:p>
        </w:tc>
      </w:tr>
    </w:tbl>
    <w:tbl>
      <w:tblPr>
        <w:tblW w:w="4060" w:type="dxa"/>
        <w:jc w:val="left"/>
        <w:tblInd w:w="0" w:type="dxa"/>
        <w:tblLayout w:type="fixed"/>
        <w:tblCellMar>
          <w:top w:w="0" w:type="dxa"/>
          <w:left w:w="0" w:type="dxa"/>
          <w:bottom w:w="0" w:type="dxa"/>
          <w:right w:w="0" w:type="dxa"/>
        </w:tblCellMar>
      </w:tblPr>
      <w:tblGrid>
        <w:gridCol w:w="200"/>
        <w:gridCol w:w="3860"/>
      </w:tblGrid>
      <w:tr>
        <w:trPr/>
        <w:tc>
          <w:tcPr>
            <w:tcW w:w="200" w:type="dxa"/>
            <w:tcBorders/>
            <w:vAlign w:val="center"/>
          </w:tcPr>
          <w:p>
            <w:pPr>
              <w:pStyle w:val="TableContents"/>
              <w:bidi w:val="0"/>
              <w:spacing w:before="0" w:after="283"/>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5.</w:t>
            </w:r>
          </w:p>
        </w:tc>
        <w:tc>
          <w:tcPr>
            <w:tcW w:w="3860" w:type="dxa"/>
            <w:tcBorders/>
            <w:vAlign w:val="center"/>
          </w:tcPr>
          <w:p>
            <w:pPr>
              <w:pStyle w:val="TableContents"/>
              <w:bidi w:val="0"/>
              <w:spacing w:before="0" w:after="283"/>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Investor Representations and Warranties.</w:t>
            </w:r>
          </w:p>
        </w:tc>
      </w:tr>
      <w:tr>
        <w:trPr/>
        <w:tc>
          <w:tcPr>
            <w:tcW w:w="200" w:type="dxa"/>
            <w:tcBorders/>
            <w:vAlign w:val="center"/>
          </w:tcPr>
          <w:p>
            <w:pPr>
              <w:pStyle w:val="TableContents"/>
              <w:bidi w:val="0"/>
              <w:spacing w:before="0" w:after="283"/>
              <w:jc w:val="left"/>
              <w:rPr>
                <w:caps w:val="false"/>
                <w:smallCaps w:val="false"/>
              </w:rPr>
            </w:pPr>
            <w:r>
              <w:rPr>
                <w:caps w:val="false"/>
                <w:smallCaps w:val="false"/>
              </w:rPr>
              <w:t> </w:t>
            </w:r>
          </w:p>
        </w:tc>
        <w:tc>
          <w:tcPr>
            <w:tcW w:w="3860"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10205" w:type="dxa"/>
        <w:jc w:val="left"/>
        <w:tblInd w:w="0" w:type="dxa"/>
        <w:tblLayout w:type="fixed"/>
        <w:tblCellMar>
          <w:top w:w="0" w:type="dxa"/>
          <w:left w:w="0" w:type="dxa"/>
          <w:bottom w:w="0" w:type="dxa"/>
          <w:right w:w="0" w:type="dxa"/>
        </w:tblCellMar>
      </w:tblPr>
      <w:tblGrid>
        <w:gridCol w:w="366"/>
        <w:gridCol w:w="9839"/>
      </w:tblGrid>
      <w:tr>
        <w:trPr/>
        <w:tc>
          <w:tcPr>
            <w:tcW w:w="366" w:type="dxa"/>
            <w:tcBorders/>
            <w:vAlign w:val="center"/>
          </w:tcPr>
          <w:p>
            <w:pPr>
              <w:pStyle w:val="TableContents"/>
              <w:bidi w:val="0"/>
              <w:spacing w:before="0" w:after="283"/>
              <w:jc w:val="left"/>
              <w:rPr/>
            </w:pPr>
            <w:r>
              <w:rPr/>
              <w:t>5.1.</w:t>
            </w:r>
          </w:p>
        </w:tc>
        <w:tc>
          <w:tcPr>
            <w:tcW w:w="9839" w:type="dxa"/>
            <w:tcBorders/>
            <w:vAlign w:val="center"/>
          </w:tcPr>
          <w:p>
            <w:pPr>
              <w:pStyle w:val="TableContents"/>
              <w:bidi w:val="0"/>
              <w:spacing w:before="0" w:after="283"/>
              <w:jc w:val="both"/>
              <w:rPr/>
            </w:pPr>
            <w:r>
              <w:rPr/>
              <w:t>The Investor has full corporate power and authority to exercise its rights and to perform its obligations pursuant to this Agreement, and all corporate and other action required to authorise its</w:t>
            </w:r>
          </w:p>
        </w:tc>
      </w:tr>
    </w:tbl>
    <w:tbl>
      <w:tblPr>
        <w:tblW w:w="350" w:type="dxa"/>
        <w:jc w:val="left"/>
        <w:tblInd w:w="0" w:type="dxa"/>
        <w:tblLayout w:type="fixed"/>
        <w:tblCellMar>
          <w:top w:w="0" w:type="dxa"/>
          <w:left w:w="0" w:type="dxa"/>
          <w:bottom w:w="0" w:type="dxa"/>
          <w:right w:w="0" w:type="dxa"/>
        </w:tblCellMar>
      </w:tblPr>
      <w:tblGrid>
        <w:gridCol w:w="75"/>
        <w:gridCol w:w="200"/>
        <w:gridCol w:w="7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center"/>
              <w:rPr/>
            </w:pPr>
            <w:r>
              <w:rPr/>
              <w:t> </w:t>
            </w:r>
            <w:r>
              <w:rPr/>
              <w:t>2</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60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execution of this Agreement and the performance of its obligations there under has been duly taken. The Investor has been duly formed or incorporated and is validly existing and is in good standing under the laws of its jurisdiction of formation or incorporation (to the extent such concept exists in such jurisdiction), with power and authority to enter into, deliver and perform its obligations under this Agreement.</w:t>
      </w:r>
    </w:p>
    <w:p>
      <w:pPr>
        <w:pStyle w:val="TextBody"/>
        <w:bidi w:val="0"/>
        <w:ind w:left="567"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9"/>
        <w:gridCol w:w="9866"/>
      </w:tblGrid>
      <w:tr>
        <w:trPr/>
        <w:tc>
          <w:tcPr>
            <w:tcW w:w="339" w:type="dxa"/>
            <w:tcBorders/>
            <w:vAlign w:val="center"/>
          </w:tcPr>
          <w:p>
            <w:pPr>
              <w:pStyle w:val="TableContents"/>
              <w:bidi w:val="0"/>
              <w:spacing w:before="0" w:after="283"/>
              <w:jc w:val="left"/>
              <w:rPr/>
            </w:pPr>
            <w:r>
              <w:rPr/>
              <w:t>5.2.</w:t>
            </w:r>
          </w:p>
        </w:tc>
        <w:tc>
          <w:tcPr>
            <w:tcW w:w="9866" w:type="dxa"/>
            <w:tcBorders/>
            <w:vAlign w:val="center"/>
          </w:tcPr>
          <w:p>
            <w:pPr>
              <w:pStyle w:val="TableContents"/>
              <w:bidi w:val="0"/>
              <w:spacing w:before="0" w:after="283"/>
              <w:jc w:val="both"/>
              <w:rPr/>
            </w:pPr>
            <w:r>
              <w:rPr/>
              <w:t>The execution, delivery and performance of this Agreement will not: contravene any law, regulation, judgment or order to which the Investor is subject, result in any actual or potential breach of or default under any obligation, agreement, instrument or consent to which the Investor is a party; or (if an entity) contravene any provision of its articles of association.</w:t>
            </w:r>
          </w:p>
        </w:tc>
      </w:tr>
      <w:tr>
        <w:trPr/>
        <w:tc>
          <w:tcPr>
            <w:tcW w:w="339" w:type="dxa"/>
            <w:tcBorders/>
            <w:vAlign w:val="center"/>
          </w:tcPr>
          <w:p>
            <w:pPr>
              <w:pStyle w:val="TableContents"/>
              <w:bidi w:val="0"/>
              <w:spacing w:before="0" w:after="283"/>
              <w:jc w:val="left"/>
              <w:rPr/>
            </w:pPr>
            <w:r>
              <w:rPr/>
              <w:t> </w:t>
            </w:r>
          </w:p>
        </w:tc>
        <w:tc>
          <w:tcPr>
            <w:tcW w:w="9866" w:type="dxa"/>
            <w:tcBorders/>
            <w:vAlign w:val="center"/>
          </w:tcPr>
          <w:p>
            <w:pPr>
              <w:pStyle w:val="TableContents"/>
              <w:bidi w:val="0"/>
              <w:spacing w:before="0" w:after="283"/>
              <w:jc w:val="both"/>
              <w:rPr/>
            </w:pPr>
            <w:r>
              <w:rPr/>
              <w:t> </w:t>
            </w:r>
          </w:p>
        </w:tc>
      </w:tr>
      <w:tr>
        <w:trPr/>
        <w:tc>
          <w:tcPr>
            <w:tcW w:w="339" w:type="dxa"/>
            <w:tcBorders/>
            <w:vAlign w:val="center"/>
          </w:tcPr>
          <w:p>
            <w:pPr>
              <w:pStyle w:val="TableContents"/>
              <w:bidi w:val="0"/>
              <w:spacing w:before="0" w:after="283"/>
              <w:jc w:val="left"/>
              <w:rPr/>
            </w:pPr>
            <w:r>
              <w:rPr/>
              <w:t>5.3.</w:t>
            </w:r>
          </w:p>
        </w:tc>
        <w:tc>
          <w:tcPr>
            <w:tcW w:w="9866" w:type="dxa"/>
            <w:tcBorders/>
            <w:vAlign w:val="center"/>
          </w:tcPr>
          <w:p>
            <w:pPr>
              <w:pStyle w:val="TableContents"/>
              <w:bidi w:val="0"/>
              <w:spacing w:before="0" w:after="283"/>
              <w:jc w:val="both"/>
              <w:rPr/>
            </w:pPr>
            <w:r>
              <w:rPr/>
              <w:t>At Payment Date, the Investor will have sufficiently available funds to satisfy its obligations under this Agreement.</w:t>
            </w:r>
          </w:p>
        </w:tc>
      </w:tr>
      <w:tr>
        <w:trPr/>
        <w:tc>
          <w:tcPr>
            <w:tcW w:w="339" w:type="dxa"/>
            <w:tcBorders/>
            <w:vAlign w:val="center"/>
          </w:tcPr>
          <w:p>
            <w:pPr>
              <w:pStyle w:val="TableContents"/>
              <w:bidi w:val="0"/>
              <w:spacing w:before="0" w:after="283"/>
              <w:jc w:val="left"/>
              <w:rPr/>
            </w:pPr>
            <w:r>
              <w:rPr/>
              <w:t> </w:t>
            </w:r>
          </w:p>
        </w:tc>
        <w:tc>
          <w:tcPr>
            <w:tcW w:w="9866" w:type="dxa"/>
            <w:tcBorders/>
            <w:vAlign w:val="center"/>
          </w:tcPr>
          <w:p>
            <w:pPr>
              <w:pStyle w:val="TableContents"/>
              <w:bidi w:val="0"/>
              <w:spacing w:before="0" w:after="283"/>
              <w:jc w:val="both"/>
              <w:rPr/>
            </w:pPr>
            <w:r>
              <w:rPr/>
              <w:t> </w:t>
            </w:r>
          </w:p>
        </w:tc>
      </w:tr>
      <w:tr>
        <w:trPr/>
        <w:tc>
          <w:tcPr>
            <w:tcW w:w="339" w:type="dxa"/>
            <w:tcBorders/>
            <w:vAlign w:val="center"/>
          </w:tcPr>
          <w:p>
            <w:pPr>
              <w:pStyle w:val="TableContents"/>
              <w:bidi w:val="0"/>
              <w:spacing w:before="0" w:after="283"/>
              <w:jc w:val="left"/>
              <w:rPr/>
            </w:pPr>
            <w:r>
              <w:rPr/>
              <w:t>5.4.</w:t>
            </w:r>
          </w:p>
        </w:tc>
        <w:tc>
          <w:tcPr>
            <w:tcW w:w="9866" w:type="dxa"/>
            <w:tcBorders/>
            <w:vAlign w:val="center"/>
          </w:tcPr>
          <w:p>
            <w:pPr>
              <w:pStyle w:val="TableContents"/>
              <w:bidi w:val="0"/>
              <w:spacing w:before="0" w:after="283"/>
              <w:jc w:val="both"/>
              <w:rPr/>
            </w:pPr>
            <w:r>
              <w:rPr/>
              <w:t>The Investor confirms that it is solely basing its subscription to the Subscription Shares on publicly available information. The Investor has the requisite knowledge and experience to be capable of evaluating the merits and risks of an investment in the Subscription Shares and that the Investor is capable of protecting its interests in connection with this Agreement, and if not, that it has sought expertise advice from a recognized third party. The Investor acknowledges that it is not relying upon, and has not relied upon, any statement, representation or warranty made by any person, firm or corporation, any of their respective affiliates or any control persons, officers, directors, employees, partners, agents or representatives of any of the foregoing, in making its investment or decision to subscribe to the Subscription Shares. Alone, or together with any professional advisor(s), the Investor has adequately analysed and fully considered the risks related to subscription to the Subscription Shares and determined that the Subscription Shares are a suitable investment for the Investor and that the Investor is able at this time and in the foreseeable future to bear the economic risk of a total loss of the Investor’s investment. The Investor acknowledges specifically that a possibility of total loss exists.</w:t>
            </w:r>
          </w:p>
        </w:tc>
      </w:tr>
      <w:tr>
        <w:trPr/>
        <w:tc>
          <w:tcPr>
            <w:tcW w:w="339" w:type="dxa"/>
            <w:tcBorders/>
            <w:vAlign w:val="center"/>
          </w:tcPr>
          <w:p>
            <w:pPr>
              <w:pStyle w:val="TableContents"/>
              <w:bidi w:val="0"/>
              <w:spacing w:before="0" w:after="283"/>
              <w:jc w:val="left"/>
              <w:rPr/>
            </w:pPr>
            <w:r>
              <w:rPr/>
              <w:t> </w:t>
            </w:r>
          </w:p>
        </w:tc>
        <w:tc>
          <w:tcPr>
            <w:tcW w:w="9866" w:type="dxa"/>
            <w:tcBorders/>
            <w:vAlign w:val="center"/>
          </w:tcPr>
          <w:p>
            <w:pPr>
              <w:pStyle w:val="TableContents"/>
              <w:bidi w:val="0"/>
              <w:spacing w:before="0" w:after="283"/>
              <w:jc w:val="both"/>
              <w:rPr/>
            </w:pPr>
            <w:r>
              <w:rPr/>
              <w:t> </w:t>
            </w:r>
          </w:p>
        </w:tc>
      </w:tr>
      <w:tr>
        <w:trPr/>
        <w:tc>
          <w:tcPr>
            <w:tcW w:w="339" w:type="dxa"/>
            <w:tcBorders/>
            <w:vAlign w:val="center"/>
          </w:tcPr>
          <w:p>
            <w:pPr>
              <w:pStyle w:val="TableContents"/>
              <w:bidi w:val="0"/>
              <w:spacing w:before="0" w:after="283"/>
              <w:jc w:val="left"/>
              <w:rPr/>
            </w:pPr>
            <w:r>
              <w:rPr/>
              <w:t>5.5.</w:t>
            </w:r>
          </w:p>
        </w:tc>
        <w:tc>
          <w:tcPr>
            <w:tcW w:w="9866" w:type="dxa"/>
            <w:tcBorders/>
            <w:vAlign w:val="center"/>
          </w:tcPr>
          <w:p>
            <w:pPr>
              <w:pStyle w:val="TableContents"/>
              <w:bidi w:val="0"/>
              <w:spacing w:before="0" w:after="283"/>
              <w:jc w:val="both"/>
              <w:rPr/>
            </w:pPr>
            <w:r>
              <w:rPr/>
              <w:t>The Investor acknowledges and agrees that there have been no representations, warranties, covenants, financial advice or agreements made to the Investor by or on behalf of the Company, expressly or by implication, in connection with Investor’s subscription to the Subscription Shares or any other factors which may determine or otherwise affect the price of the aforementioned. The Investor has placed no reliance on written or oral statements made (directly or indirectly) by the Company, or their respective affiliates, officers, directors, agents, employees or its advisers, and has made such due diligence investigation into the subscription, the Subscription Shares and/or the Company and its business as the Investor has deemed appropriate.</w:t>
            </w:r>
          </w:p>
        </w:tc>
      </w:tr>
      <w:tr>
        <w:trPr/>
        <w:tc>
          <w:tcPr>
            <w:tcW w:w="339" w:type="dxa"/>
            <w:tcBorders/>
            <w:vAlign w:val="center"/>
          </w:tcPr>
          <w:p>
            <w:pPr>
              <w:pStyle w:val="TableContents"/>
              <w:bidi w:val="0"/>
              <w:spacing w:before="0" w:after="283"/>
              <w:jc w:val="left"/>
              <w:rPr/>
            </w:pPr>
            <w:r>
              <w:rPr/>
              <w:t> </w:t>
            </w:r>
          </w:p>
        </w:tc>
        <w:tc>
          <w:tcPr>
            <w:tcW w:w="9866"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359"/>
        <w:gridCol w:w="9846"/>
      </w:tblGrid>
      <w:tr>
        <w:trPr/>
        <w:tc>
          <w:tcPr>
            <w:tcW w:w="359" w:type="dxa"/>
            <w:tcBorders/>
            <w:vAlign w:val="center"/>
          </w:tcPr>
          <w:p>
            <w:pPr>
              <w:pStyle w:val="TableContents"/>
              <w:bidi w:val="0"/>
              <w:spacing w:before="0" w:after="283"/>
              <w:jc w:val="left"/>
              <w:rPr/>
            </w:pPr>
            <w:r>
              <w:rPr/>
              <w:t>5.6.</w:t>
            </w:r>
          </w:p>
        </w:tc>
        <w:tc>
          <w:tcPr>
            <w:tcW w:w="9846" w:type="dxa"/>
            <w:tcBorders/>
            <w:vAlign w:val="center"/>
          </w:tcPr>
          <w:p>
            <w:pPr>
              <w:pStyle w:val="TableContents"/>
              <w:bidi w:val="0"/>
              <w:spacing w:before="0" w:after="283"/>
              <w:jc w:val="both"/>
              <w:rPr/>
            </w:pPr>
            <w:r>
              <w:rPr/>
              <w:t>The Investor is either a professional client or an eligible counterparty within the meanings of item 14 or 73 of article 4 of Act, no. 115/2021, on markets in financial instruments (Icelandic: “</w:t>
            </w:r>
            <w:r>
              <w:rPr>
                <w:i/>
              </w:rPr>
              <w:t>fagfjárfestir</w:t>
            </w:r>
            <w:r>
              <w:rPr/>
              <w:t>” or “</w:t>
            </w:r>
            <w:r>
              <w:rPr>
                <w:i/>
              </w:rPr>
              <w:t>viðurkenndur gagnaðili</w:t>
            </w:r>
            <w:r>
              <w:rPr/>
              <w:t>”).</w:t>
            </w:r>
          </w:p>
        </w:tc>
      </w:tr>
      <w:tr>
        <w:trPr/>
        <w:tc>
          <w:tcPr>
            <w:tcW w:w="359" w:type="dxa"/>
            <w:tcBorders/>
            <w:vAlign w:val="center"/>
          </w:tcPr>
          <w:p>
            <w:pPr>
              <w:pStyle w:val="TableContents"/>
              <w:bidi w:val="0"/>
              <w:spacing w:before="0" w:after="283"/>
              <w:jc w:val="left"/>
              <w:rPr/>
            </w:pPr>
            <w:r>
              <w:rPr/>
              <w:t> </w:t>
            </w:r>
          </w:p>
        </w:tc>
        <w:tc>
          <w:tcPr>
            <w:tcW w:w="9846" w:type="dxa"/>
            <w:tcBorders/>
            <w:vAlign w:val="center"/>
          </w:tcPr>
          <w:p>
            <w:pPr>
              <w:pStyle w:val="TableContents"/>
              <w:bidi w:val="0"/>
              <w:spacing w:before="0" w:after="283"/>
              <w:jc w:val="both"/>
              <w:rPr/>
            </w:pPr>
            <w:r>
              <w:rPr/>
              <w:t> </w:t>
            </w:r>
          </w:p>
        </w:tc>
      </w:tr>
      <w:tr>
        <w:trPr/>
        <w:tc>
          <w:tcPr>
            <w:tcW w:w="359" w:type="dxa"/>
            <w:tcBorders/>
            <w:vAlign w:val="center"/>
          </w:tcPr>
          <w:p>
            <w:pPr>
              <w:pStyle w:val="TableContents"/>
              <w:bidi w:val="0"/>
              <w:spacing w:before="0" w:after="283"/>
              <w:jc w:val="left"/>
              <w:rPr/>
            </w:pPr>
            <w:r>
              <w:rPr/>
              <w:t>5.7.</w:t>
            </w:r>
          </w:p>
        </w:tc>
        <w:tc>
          <w:tcPr>
            <w:tcW w:w="9846" w:type="dxa"/>
            <w:tcBorders/>
            <w:vAlign w:val="center"/>
          </w:tcPr>
          <w:p>
            <w:pPr>
              <w:pStyle w:val="TableContents"/>
              <w:bidi w:val="0"/>
              <w:spacing w:before="0" w:after="283"/>
              <w:jc w:val="both"/>
              <w:rPr/>
            </w:pPr>
            <w:r>
              <w:rPr/>
              <w:t>The Investor is aware that the Company is authorized to enter into subscription and/or purchase agreements with other investors in such amounts as determined by the Company, acting in its sole discretion.</w:t>
            </w:r>
          </w:p>
        </w:tc>
      </w:tr>
    </w:tbl>
    <w:tbl>
      <w:tblPr>
        <w:tblW w:w="350" w:type="dxa"/>
        <w:jc w:val="left"/>
        <w:tblInd w:w="0" w:type="dxa"/>
        <w:tblLayout w:type="fixed"/>
        <w:tblCellMar>
          <w:top w:w="0" w:type="dxa"/>
          <w:left w:w="0" w:type="dxa"/>
          <w:bottom w:w="0" w:type="dxa"/>
          <w:right w:w="0" w:type="dxa"/>
        </w:tblCellMar>
      </w:tblPr>
      <w:tblGrid>
        <w:gridCol w:w="75"/>
        <w:gridCol w:w="200"/>
        <w:gridCol w:w="7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center"/>
              <w:rPr/>
            </w:pPr>
            <w:r>
              <w:rPr/>
              <w:t> </w:t>
            </w:r>
            <w:r>
              <w:rPr/>
              <w:t>3</w:t>
            </w:r>
          </w:p>
        </w:tc>
        <w:tc>
          <w:tcPr>
            <w:tcW w:w="75" w:type="dxa"/>
            <w:tcBorders/>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458"/>
        <w:gridCol w:w="9747"/>
      </w:tblGrid>
      <w:tr>
        <w:trPr/>
        <w:tc>
          <w:tcPr>
            <w:tcW w:w="458" w:type="dxa"/>
            <w:tcBorders/>
            <w:vAlign w:val="center"/>
          </w:tcPr>
          <w:p>
            <w:pPr>
              <w:pStyle w:val="TableContents"/>
              <w:bidi w:val="0"/>
              <w:spacing w:before="0" w:after="283"/>
              <w:jc w:val="left"/>
              <w:rPr/>
            </w:pPr>
            <w:r>
              <w:rPr/>
              <w:t>5.8.</w:t>
            </w:r>
          </w:p>
        </w:tc>
        <w:tc>
          <w:tcPr>
            <w:tcW w:w="9747" w:type="dxa"/>
            <w:tcBorders/>
            <w:vAlign w:val="center"/>
          </w:tcPr>
          <w:p>
            <w:pPr>
              <w:pStyle w:val="TableContents"/>
              <w:bidi w:val="0"/>
              <w:spacing w:before="0" w:after="283"/>
              <w:jc w:val="both"/>
              <w:rPr/>
            </w:pPr>
            <w:r>
              <w:rPr/>
              <w:t>The Investor, or each of the funds managed by or affiliated with the Investor for which the Investor is acting as nominee, as applicable, or any assignee of the Investor is not a “US person” (as defined in Regulation S of the Securities Act).</w:t>
            </w:r>
          </w:p>
        </w:tc>
      </w:tr>
      <w:tr>
        <w:trPr/>
        <w:tc>
          <w:tcPr>
            <w:tcW w:w="458" w:type="dxa"/>
            <w:tcBorders/>
            <w:vAlign w:val="center"/>
          </w:tcPr>
          <w:p>
            <w:pPr>
              <w:pStyle w:val="TableContents"/>
              <w:bidi w:val="0"/>
              <w:spacing w:before="0" w:after="283"/>
              <w:jc w:val="left"/>
              <w:rPr/>
            </w:pPr>
            <w:r>
              <w:rPr/>
              <w:t> </w:t>
            </w:r>
          </w:p>
        </w:tc>
        <w:tc>
          <w:tcPr>
            <w:tcW w:w="9747" w:type="dxa"/>
            <w:tcBorders/>
            <w:vAlign w:val="center"/>
          </w:tcPr>
          <w:p>
            <w:pPr>
              <w:pStyle w:val="TableContents"/>
              <w:bidi w:val="0"/>
              <w:spacing w:before="0" w:after="283"/>
              <w:jc w:val="both"/>
              <w:rPr/>
            </w:pPr>
            <w:r>
              <w:rPr/>
              <w:t> </w:t>
            </w:r>
          </w:p>
        </w:tc>
      </w:tr>
      <w:tr>
        <w:trPr/>
        <w:tc>
          <w:tcPr>
            <w:tcW w:w="458" w:type="dxa"/>
            <w:tcBorders/>
            <w:vAlign w:val="center"/>
          </w:tcPr>
          <w:p>
            <w:pPr>
              <w:pStyle w:val="TableContents"/>
              <w:bidi w:val="0"/>
              <w:spacing w:before="0" w:after="283"/>
              <w:jc w:val="left"/>
              <w:rPr/>
            </w:pPr>
            <w:r>
              <w:rPr/>
              <w:t>5.9.</w:t>
            </w:r>
          </w:p>
        </w:tc>
        <w:tc>
          <w:tcPr>
            <w:tcW w:w="9747" w:type="dxa"/>
            <w:tcBorders/>
            <w:vAlign w:val="center"/>
          </w:tcPr>
          <w:p>
            <w:pPr>
              <w:pStyle w:val="TableContents"/>
              <w:bidi w:val="0"/>
              <w:spacing w:before="0" w:after="283"/>
              <w:jc w:val="both"/>
              <w:rPr/>
            </w:pPr>
            <w:r>
              <w:rPr/>
              <w:t xml:space="preserve">The Subscription Shares have not been registered under the Securities Act, and, absent an effective registration statement under the Securities Act, may not be offered, sold, transferred, pledged or otherwise disposed of by the Investor except in accordance with (i) Regulation S under the Securities Act or (ii) within the United States or to, or for the account or benefit of, U.S. persons, pursuant to an exemption from the registration requirements of the Securities Act and in accordance with any applicable securities laws of the states and other jurisdictions of the United States. </w:t>
            </w:r>
          </w:p>
        </w:tc>
      </w:tr>
      <w:tr>
        <w:trPr/>
        <w:tc>
          <w:tcPr>
            <w:tcW w:w="458" w:type="dxa"/>
            <w:tcBorders/>
            <w:vAlign w:val="center"/>
          </w:tcPr>
          <w:p>
            <w:pPr>
              <w:pStyle w:val="TableContents"/>
              <w:bidi w:val="0"/>
              <w:spacing w:before="0" w:after="283"/>
              <w:jc w:val="left"/>
              <w:rPr/>
            </w:pPr>
            <w:r>
              <w:rPr/>
              <w:t> </w:t>
            </w:r>
          </w:p>
        </w:tc>
        <w:tc>
          <w:tcPr>
            <w:tcW w:w="9747" w:type="dxa"/>
            <w:tcBorders/>
            <w:vAlign w:val="center"/>
          </w:tcPr>
          <w:p>
            <w:pPr>
              <w:pStyle w:val="TableContents"/>
              <w:bidi w:val="0"/>
              <w:spacing w:before="0" w:after="283"/>
              <w:jc w:val="both"/>
              <w:rPr/>
            </w:pPr>
            <w:r>
              <w:rPr/>
              <w:t> </w:t>
            </w:r>
          </w:p>
        </w:tc>
      </w:tr>
      <w:tr>
        <w:trPr/>
        <w:tc>
          <w:tcPr>
            <w:tcW w:w="458" w:type="dxa"/>
            <w:tcBorders/>
            <w:vAlign w:val="center"/>
          </w:tcPr>
          <w:p>
            <w:pPr>
              <w:pStyle w:val="TableContents"/>
              <w:bidi w:val="0"/>
              <w:spacing w:before="0" w:after="283"/>
              <w:jc w:val="left"/>
              <w:rPr/>
            </w:pPr>
            <w:r>
              <w:rPr/>
              <w:t>5.10.</w:t>
            </w:r>
          </w:p>
        </w:tc>
        <w:tc>
          <w:tcPr>
            <w:tcW w:w="9747" w:type="dxa"/>
            <w:tcBorders/>
            <w:vAlign w:val="center"/>
          </w:tcPr>
          <w:p>
            <w:pPr>
              <w:pStyle w:val="TableContents"/>
              <w:bidi w:val="0"/>
              <w:spacing w:before="0" w:after="283"/>
              <w:jc w:val="both"/>
              <w:rPr/>
            </w:pPr>
            <w:r>
              <w:rPr/>
              <w:t>The Investor acknowledges and agrees that the Subscription Shares are being offered in a transaction not involving any public offering within the meaning of the Securities Act and that the Subscription Shares have not been registered under the Securities Act or any other applicable securities laws. The Investor acknowledges and agrees that the Subscription Shares will be subject to transfer restrictions in the United States and, as a result of these transfer restrictions, the Investor may not be able to readily offer, resell, transfer, pledge or otherwise dispose of the Subscription Shares to a U.S. person and may be required to bear the financial risk of an investment in the Subscription Shares for an indefinite period of time. The Investor acknowledges and agrees that as a result of such restrictions, there may be a limited trading market for the Subscription Shares held by the Investor and its nominees and assignees. The Investor acknowledges and agrees that it has been advised to consult legal counsel and tax and accounting advisors prior to making any offer, resale, transfer, pledge or disposition of any of the Subscription Shares. The Investor further undertakes that, during the 40-day period commencing on the issuance date of the Subscription Shares, it will not offer, sell, pledge, or otherwise transfer the Subscription Shares in the United States or to, or for the account or benefit of, any U.S. Person (as defined in Regulation S under the Securities Act), except pursuant to an effective registration statement under the Securities Act or an available exemption from the registration requirements thereof.</w:t>
            </w:r>
          </w:p>
        </w:tc>
      </w:tr>
      <w:tr>
        <w:trPr/>
        <w:tc>
          <w:tcPr>
            <w:tcW w:w="458" w:type="dxa"/>
            <w:tcBorders/>
            <w:vAlign w:val="center"/>
          </w:tcPr>
          <w:p>
            <w:pPr>
              <w:pStyle w:val="TableContents"/>
              <w:bidi w:val="0"/>
              <w:spacing w:before="0" w:after="283"/>
              <w:jc w:val="left"/>
              <w:rPr/>
            </w:pPr>
            <w:r>
              <w:rPr/>
              <w:t> </w:t>
            </w:r>
          </w:p>
        </w:tc>
        <w:tc>
          <w:tcPr>
            <w:tcW w:w="9747" w:type="dxa"/>
            <w:tcBorders/>
            <w:vAlign w:val="center"/>
          </w:tcPr>
          <w:p>
            <w:pPr>
              <w:pStyle w:val="TableContents"/>
              <w:bidi w:val="0"/>
              <w:spacing w:before="0" w:after="283"/>
              <w:jc w:val="both"/>
              <w:rPr/>
            </w:pPr>
            <w:r>
              <w:rPr/>
              <w:t> </w:t>
            </w:r>
          </w:p>
        </w:tc>
      </w:tr>
      <w:tr>
        <w:trPr/>
        <w:tc>
          <w:tcPr>
            <w:tcW w:w="458" w:type="dxa"/>
            <w:tcBorders/>
            <w:vAlign w:val="center"/>
          </w:tcPr>
          <w:p>
            <w:pPr>
              <w:pStyle w:val="TableContents"/>
              <w:bidi w:val="0"/>
              <w:spacing w:before="0" w:after="283"/>
              <w:jc w:val="left"/>
              <w:rPr/>
            </w:pPr>
            <w:r>
              <w:rPr/>
              <w:t>5.11.</w:t>
            </w:r>
          </w:p>
        </w:tc>
        <w:tc>
          <w:tcPr>
            <w:tcW w:w="9747" w:type="dxa"/>
            <w:tcBorders/>
            <w:vAlign w:val="center"/>
          </w:tcPr>
          <w:p>
            <w:pPr>
              <w:pStyle w:val="TableContents"/>
              <w:bidi w:val="0"/>
              <w:spacing w:before="0" w:after="283"/>
              <w:jc w:val="both"/>
              <w:rPr/>
            </w:pPr>
            <w:r>
              <w:rPr/>
              <w:t>The Investor’s acquisition of and holding of the Subscription Shares will not constitute or result in a non-exempt prohibited transaction under Section 406 of the Employee Retirement Income Security Act of 1974, as amended, Section 4975 of the Internal Revenue Code of 1986, as amended, or any applicable similar law.</w:t>
            </w:r>
          </w:p>
        </w:tc>
      </w:tr>
      <w:tr>
        <w:trPr/>
        <w:tc>
          <w:tcPr>
            <w:tcW w:w="458" w:type="dxa"/>
            <w:tcBorders/>
            <w:vAlign w:val="center"/>
          </w:tcPr>
          <w:p>
            <w:pPr>
              <w:pStyle w:val="TableContents"/>
              <w:bidi w:val="0"/>
              <w:spacing w:before="0" w:after="283"/>
              <w:jc w:val="left"/>
              <w:rPr/>
            </w:pPr>
            <w:r>
              <w:rPr/>
              <w:t> </w:t>
            </w:r>
          </w:p>
        </w:tc>
        <w:tc>
          <w:tcPr>
            <w:tcW w:w="9747"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307"/>
        <w:gridCol w:w="9898"/>
      </w:tblGrid>
      <w:tr>
        <w:trPr/>
        <w:tc>
          <w:tcPr>
            <w:tcW w:w="307" w:type="dxa"/>
            <w:tcBorders/>
            <w:vAlign w:val="center"/>
          </w:tcPr>
          <w:p>
            <w:pPr>
              <w:pStyle w:val="TableContents"/>
              <w:bidi w:val="0"/>
              <w:spacing w:before="0" w:after="283"/>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[6.</w:t>
            </w:r>
          </w:p>
        </w:tc>
        <w:tc>
          <w:tcPr>
            <w:tcW w:w="9898" w:type="dxa"/>
            <w:tcBorders/>
            <w:vAlign w:val="center"/>
          </w:tcPr>
          <w:p>
            <w:pPr>
              <w:pStyle w:val="TableContents"/>
              <w:bidi w:val="0"/>
              <w:spacing w:before="0" w:after="283"/>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Registration Rights.</w:t>
            </w:r>
          </w:p>
        </w:tc>
      </w:tr>
      <w:tr>
        <w:trPr/>
        <w:tc>
          <w:tcPr>
            <w:tcW w:w="307" w:type="dxa"/>
            <w:tcBorders/>
            <w:vAlign w:val="center"/>
          </w:tcPr>
          <w:p>
            <w:pPr>
              <w:pStyle w:val="TableContents"/>
              <w:bidi w:val="0"/>
              <w:spacing w:before="0" w:after="283"/>
              <w:jc w:val="left"/>
              <w:rPr/>
            </w:pPr>
            <w:r>
              <w:rPr/>
              <w:t> </w:t>
            </w:r>
          </w:p>
        </w:tc>
        <w:tc>
          <w:tcPr>
            <w:tcW w:w="9898" w:type="dxa"/>
            <w:tcBorders/>
            <w:vAlign w:val="center"/>
          </w:tcPr>
          <w:p>
            <w:pPr>
              <w:pStyle w:val="TableContents"/>
              <w:bidi w:val="0"/>
              <w:spacing w:before="0" w:after="283"/>
              <w:jc w:val="both"/>
              <w:rPr/>
            </w:pPr>
            <w:r>
              <w:rPr/>
              <w:t> </w:t>
            </w:r>
          </w:p>
        </w:tc>
      </w:tr>
      <w:tr>
        <w:trPr/>
        <w:tc>
          <w:tcPr>
            <w:tcW w:w="307"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6.1.</w:t>
            </w:r>
          </w:p>
        </w:tc>
        <w:tc>
          <w:tcPr>
            <w:tcW w:w="9898"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At any time and from time to time, the Investor may make a written demand for registration under the Securities Act of all or any portion of Investor’s Subscription Shares on any form of registration statement for which the Company then qualifies (a “</w:t>
            </w:r>
            <w:r>
              <w:rPr>
                <w:rFonts w:ascii="Arial;Helvetica;Sans-Serif" w:hAnsi="Arial;Helvetica;Sans-Serif"/>
                <w:b/>
                <w:i w:val="false"/>
                <w:caps w:val="false"/>
                <w:smallCaps w:val="false"/>
                <w:sz w:val="20"/>
              </w:rPr>
              <w:t>Demand Registration</w:t>
            </w:r>
            <w:r>
              <w:rPr>
                <w:rFonts w:ascii="Arial;Helvetica;Sans-Serif" w:hAnsi="Arial;Helvetica;Sans-Serif"/>
                <w:b w:val="false"/>
                <w:i w:val="false"/>
                <w:caps w:val="false"/>
                <w:smallCaps w:val="false"/>
                <w:sz w:val="20"/>
              </w:rPr>
              <w:t xml:space="preserve">”). Any demand for a Demand Registration shall specify the number of Subscription Shares proposed to be sold and the intended method(s) of distribution thereof, which may include an underwritten offering (with underwriter(s) selected by the Investor and reasonably acceptable to the Company). The Company shall enter into customary agreements (including, if applicable, an underwriting agreement in customary form) and take such other actions as are reasonably required in order to expedite or facilitate the disposition of such Subscription Shares, including obtaining a “cold comfort” letter from the Company’s independent registered public accountants and a customary “bring-down” thereof, in customary form, and an opinion and negative assurance letter of the Company’s counsel addressed to the Investor, the placement agent or sales agent, if any, and the underwriters, if any, covering such legal matters with respect to such registration in respect of which such opinion is being given as the Investor, placement agent, sales agent, or underwriter may reasonably request and as are customarily included in such opinions, and reasonably satisfactory to the Investor. The Company shall not be obligated to effect more than two (2) Demand Registrations in respect of all Subscription Shares held by the Investor. The Investor may elect to withdraw from the Demand Registration for any and no reason whatsoever by giving written notice to the Company and any managing underwriter(s) thereof of its request to withdraw prior to the effectiveness of the registration statement filed with the SEC with respect to such Demand Registration. A registration will not count as a Demand Registration until the registration statement filed with the SEC with respect to such Demand Registration has been declared effective and the Company has complied with all of its obligations under this Agreement with respect thereto. </w:t>
            </w:r>
          </w:p>
        </w:tc>
      </w:tr>
      <w:tr>
        <w:trPr/>
        <w:tc>
          <w:tcPr>
            <w:tcW w:w="307" w:type="dxa"/>
            <w:tcBorders/>
            <w:vAlign w:val="center"/>
          </w:tcPr>
          <w:p>
            <w:pPr>
              <w:pStyle w:val="TableContents"/>
              <w:bidi w:val="0"/>
              <w:spacing w:before="0" w:after="283"/>
              <w:jc w:val="left"/>
              <w:rPr/>
            </w:pPr>
            <w:r>
              <w:rPr/>
              <w:t> </w:t>
            </w:r>
          </w:p>
        </w:tc>
        <w:tc>
          <w:tcPr>
            <w:tcW w:w="9898" w:type="dxa"/>
            <w:tcBorders/>
            <w:vAlign w:val="center"/>
          </w:tcPr>
          <w:p>
            <w:pPr>
              <w:pStyle w:val="TableContents"/>
              <w:bidi w:val="0"/>
              <w:spacing w:before="0" w:after="283"/>
              <w:jc w:val="both"/>
              <w:rPr/>
            </w:pPr>
            <w:r>
              <w:rPr/>
              <w:t> </w:t>
            </w:r>
          </w:p>
        </w:tc>
      </w:tr>
      <w:tr>
        <w:trPr/>
        <w:tc>
          <w:tcPr>
            <w:tcW w:w="307"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6.2.</w:t>
            </w:r>
          </w:p>
        </w:tc>
        <w:tc>
          <w:tcPr>
            <w:tcW w:w="9898"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The Company shall use its reasonable best efforts to, as expeditiously as possible after receipt of a request for a Demand Registration, prepare and file with the SEC a registration statement for the sale of the Subscription Shares proposed to be sold by the Investor thereunder in accordance with the intended method(s) of distribution thereof, and shall use its reasonable best efforts to cause such registration statement to become effective and use its reasonable best efforts to keep it effective until all such Subscription Shares have been disposed of in accordance with the intended method(s) of distribution set forth in such registration statement or such securities have been withdrawn; provided, however, that the Company shall have the right to defer any Demand Registration for up to sixty (60) days total or thirty (30) days consecutively in any 12-month period if the Company shall furnish to the Investor a certificate signed by the Chief Executive Officer or Chairman of the Company stating that, in the good faith judgment of the Board of Directors of the Company, it would be materially detrimental to the Company and its shareholders for such registration statement to be effected at such time. The Company shall, prior to filing a registration statement or prospectus, or any amendment or supplement thereto in connection with a Demand Registration, furnish without charge to the Investor, and Investor’s legal counsel, copies of such registration statement as proposed to be filed, each amendment and supplement to such registration statement (in each case, </w:t>
            </w:r>
          </w:p>
        </w:tc>
      </w:tr>
    </w:tbl>
    <w:tbl>
      <w:tblPr>
        <w:tblW w:w="350" w:type="dxa"/>
        <w:jc w:val="left"/>
        <w:tblInd w:w="0" w:type="dxa"/>
        <w:tblLayout w:type="fixed"/>
        <w:tblCellMar>
          <w:top w:w="0" w:type="dxa"/>
          <w:left w:w="0" w:type="dxa"/>
          <w:bottom w:w="0" w:type="dxa"/>
          <w:right w:w="0" w:type="dxa"/>
        </w:tblCellMar>
      </w:tblPr>
      <w:tblGrid>
        <w:gridCol w:w="75"/>
        <w:gridCol w:w="200"/>
        <w:gridCol w:w="7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center"/>
              <w:rPr/>
            </w:pPr>
            <w:r>
              <w:rPr/>
              <w:t> </w:t>
            </w:r>
            <w:r>
              <w:rPr/>
              <w:t>4</w:t>
            </w:r>
          </w:p>
        </w:tc>
        <w:tc>
          <w:tcPr>
            <w:tcW w:w="75" w:type="dxa"/>
            <w:tcBorders/>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308"/>
        <w:gridCol w:w="9897"/>
      </w:tblGrid>
      <w:tr>
        <w:trPr/>
        <w:tc>
          <w:tcPr>
            <w:tcW w:w="308" w:type="dxa"/>
            <w:tcBorders/>
            <w:vAlign w:val="center"/>
          </w:tcPr>
          <w:p>
            <w:pPr>
              <w:pStyle w:val="TableContents"/>
              <w:bidi w:val="0"/>
              <w:spacing w:before="0" w:after="283"/>
              <w:jc w:val="left"/>
              <w:rPr/>
            </w:pPr>
            <w:r>
              <w:rPr/>
              <w:t> </w:t>
            </w:r>
          </w:p>
        </w:tc>
        <w:tc>
          <w:tcPr>
            <w:tcW w:w="9897"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including all exhibits thereto and documents incorporated by reference therein), the prospectus included in such registration statement (including each preliminary prospectus), and such other documents as the Investor or legal counsel may request in order to facilitate the disposition of the Subscribed Shares, and shall promptly notify the Investor of such filing, when such registration statement becomes effective, when any post-effective amendment to such registration statement becomes effective, the issuance or threatened issuance by the SEC of any stop order, and any request by the SEC for any amendment or supplement to such registration statement or any prospectus relating thereto. The Company shall comply with all applicable rules and regulations of the SEC and the Securities Act, and make available to its shareholders, as soon as practicable, an earnings statement covering a period of twelve (12) months, which earnings statement shall satisfy the provisions of Section 11(a) of the Securities Act and Rule 158 thereunder.</w:t>
            </w:r>
          </w:p>
        </w:tc>
      </w:tr>
      <w:tr>
        <w:trPr/>
        <w:tc>
          <w:tcPr>
            <w:tcW w:w="308" w:type="dxa"/>
            <w:tcBorders/>
            <w:vAlign w:val="center"/>
          </w:tcPr>
          <w:p>
            <w:pPr>
              <w:pStyle w:val="TableContents"/>
              <w:bidi w:val="0"/>
              <w:spacing w:before="0" w:after="283"/>
              <w:jc w:val="left"/>
              <w:rPr/>
            </w:pPr>
            <w:r>
              <w:rPr/>
              <w:t> </w:t>
            </w:r>
          </w:p>
        </w:tc>
        <w:tc>
          <w:tcPr>
            <w:tcW w:w="9897" w:type="dxa"/>
            <w:tcBorders/>
            <w:vAlign w:val="center"/>
          </w:tcPr>
          <w:p>
            <w:pPr>
              <w:pStyle w:val="TableContents"/>
              <w:bidi w:val="0"/>
              <w:spacing w:before="0" w:after="283"/>
              <w:jc w:val="both"/>
              <w:rPr/>
            </w:pPr>
            <w:r>
              <w:rPr/>
              <w:t> </w:t>
            </w:r>
          </w:p>
        </w:tc>
      </w:tr>
      <w:tr>
        <w:trPr/>
        <w:tc>
          <w:tcPr>
            <w:tcW w:w="308"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6.3.</w:t>
            </w:r>
          </w:p>
        </w:tc>
        <w:tc>
          <w:tcPr>
            <w:tcW w:w="9897"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Company shall bear all costs and expenses incurred in connection with a Demand Registration, whether or not the registration statement becomes effective, provided that the Company shall have no obligation to pay any underwriting discounts or selling commissions attributable to the Subscription Shares being sold by the Investor, which underwriting discounts or selling commissions shall be borne by the Investor.</w:t>
            </w:r>
          </w:p>
        </w:tc>
      </w:tr>
      <w:tr>
        <w:trPr/>
        <w:tc>
          <w:tcPr>
            <w:tcW w:w="308" w:type="dxa"/>
            <w:tcBorders/>
            <w:vAlign w:val="center"/>
          </w:tcPr>
          <w:p>
            <w:pPr>
              <w:pStyle w:val="TableContents"/>
              <w:bidi w:val="0"/>
              <w:spacing w:before="0" w:after="283"/>
              <w:jc w:val="left"/>
              <w:rPr/>
            </w:pPr>
            <w:r>
              <w:rPr/>
              <w:t> </w:t>
            </w:r>
          </w:p>
        </w:tc>
        <w:tc>
          <w:tcPr>
            <w:tcW w:w="9897" w:type="dxa"/>
            <w:tcBorders/>
            <w:vAlign w:val="center"/>
          </w:tcPr>
          <w:p>
            <w:pPr>
              <w:pStyle w:val="TableContents"/>
              <w:bidi w:val="0"/>
              <w:spacing w:before="0" w:after="283"/>
              <w:jc w:val="both"/>
              <w:rPr/>
            </w:pPr>
            <w:r>
              <w:rPr/>
              <w:t> </w:t>
            </w:r>
          </w:p>
        </w:tc>
      </w:tr>
      <w:tr>
        <w:trPr/>
        <w:tc>
          <w:tcPr>
            <w:tcW w:w="308"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6.4.</w:t>
            </w:r>
          </w:p>
        </w:tc>
        <w:tc>
          <w:tcPr>
            <w:tcW w:w="9897"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To the extent permitted by law, the Company agrees to indemnify and hold harmless the Investor and its officers, employees, affiliates, directors, partners, members, attorneys and agents, and each person, if any, who controls the Investor within the meaning of Section 15 of the Securities Act or Section 20 of the Exchange Act (each, an “</w:t>
            </w:r>
            <w:r>
              <w:rPr>
                <w:rFonts w:ascii="Arial;Helvetica;Sans-Serif" w:hAnsi="Arial;Helvetica;Sans-Serif"/>
                <w:b/>
                <w:i w:val="false"/>
                <w:caps w:val="false"/>
                <w:smallCaps w:val="false"/>
                <w:sz w:val="20"/>
              </w:rPr>
              <w:t>Investor Indemnified Party</w:t>
            </w:r>
            <w:r>
              <w:rPr>
                <w:rFonts w:ascii="Arial;Helvetica;Sans-Serif" w:hAnsi="Arial;Helvetica;Sans-Serif"/>
                <w:b w:val="false"/>
                <w:i w:val="false"/>
                <w:caps w:val="false"/>
                <w:smallCaps w:val="false"/>
                <w:sz w:val="20"/>
              </w:rPr>
              <w:t>”), from and against any expenses, losses, judgments, claims, damages or liabilities, whether joint or several, arising out of or based upon any untrue statement (or allegedly untrue statement) of a material fact contained in any registration statement under which the sale of Subscription Shares was registered under the Securities Act, any preliminary prospectus, final prospectus or summary prospectus contained in the registration statement, or any amendment or supplement to such registration statement, or arising out of or based upon any omission (or alleged omission) to state a material fact required to be stated therein or necessary to make the statements therein not misleading; and the Company shall promptly reimburse the Investor Indemnified Party for any legal and any other expenses reasonably incurred and documented by such Investor Indemnified Party in connection with investigating and defending any such expense, loss, judgment, claim, damage, liability or action; provided, however, that the Company will not be liable in any such case to the extent that any such expense, loss, claim, damage or liability arises out of or is based upon any untrue statement or allegedly untrue statement or omission or alleged omission made in such registration statement, preliminary prospectus, final prospectus, or summary prospectus, or any such amendment or supplement, in reliance upon and in conformity with information furnished to the Company, in writing, by the Investor expressly for use therein.]</w:t>
            </w:r>
          </w:p>
        </w:tc>
      </w:tr>
      <w:tr>
        <w:trPr/>
        <w:tc>
          <w:tcPr>
            <w:tcW w:w="308" w:type="dxa"/>
            <w:tcBorders/>
            <w:vAlign w:val="center"/>
          </w:tcPr>
          <w:p>
            <w:pPr>
              <w:pStyle w:val="TableContents"/>
              <w:bidi w:val="0"/>
              <w:spacing w:before="0" w:after="283"/>
              <w:jc w:val="left"/>
              <w:rPr/>
            </w:pPr>
            <w:r>
              <w:rPr/>
              <w:t> </w:t>
            </w:r>
          </w:p>
        </w:tc>
        <w:tc>
          <w:tcPr>
            <w:tcW w:w="9897" w:type="dxa"/>
            <w:tcBorders/>
            <w:vAlign w:val="center"/>
          </w:tcPr>
          <w:p>
            <w:pPr>
              <w:pStyle w:val="TableContents"/>
              <w:bidi w:val="0"/>
              <w:spacing w:before="0" w:after="283"/>
              <w:jc w:val="both"/>
              <w:rPr/>
            </w:pPr>
            <w:r>
              <w:rPr/>
              <w:t> </w:t>
            </w:r>
          </w:p>
        </w:tc>
      </w:tr>
      <w:tr>
        <w:trPr/>
        <w:tc>
          <w:tcPr>
            <w:tcW w:w="308" w:type="dxa"/>
            <w:tcBorders/>
            <w:vAlign w:val="center"/>
          </w:tcPr>
          <w:p>
            <w:pPr>
              <w:pStyle w:val="TableContents"/>
              <w:bidi w:val="0"/>
              <w:spacing w:before="0" w:after="283"/>
              <w:jc w:val="left"/>
              <w:rPr>
                <w:b/>
              </w:rPr>
            </w:pPr>
            <w:r>
              <w:rPr>
                <w:b/>
              </w:rPr>
              <w:t>7.</w:t>
            </w:r>
          </w:p>
        </w:tc>
        <w:tc>
          <w:tcPr>
            <w:tcW w:w="9897" w:type="dxa"/>
            <w:tcBorders/>
            <w:vAlign w:val="center"/>
          </w:tcPr>
          <w:p>
            <w:pPr>
              <w:pStyle w:val="TableContents"/>
              <w:bidi w:val="0"/>
              <w:spacing w:before="0" w:after="283"/>
              <w:jc w:val="both"/>
              <w:rPr/>
            </w:pPr>
            <w:r>
              <w:rPr>
                <w:b/>
              </w:rPr>
              <w:t xml:space="preserve">Governing Law. </w:t>
            </w:r>
            <w:r>
              <w:rPr/>
              <w:t>This Agreement shall be governed by the laws of Iceland, without giving effect to the conflicts of laws provision thereof. Any disputes arising between the parties relating to this Agreement shall be subject to the exclusive jurisdiction of the District Court of Reykjavík (without restricting any right of appeal).</w:t>
            </w:r>
          </w:p>
        </w:tc>
      </w:tr>
      <w:tr>
        <w:trPr/>
        <w:tc>
          <w:tcPr>
            <w:tcW w:w="308" w:type="dxa"/>
            <w:tcBorders/>
            <w:vAlign w:val="center"/>
          </w:tcPr>
          <w:p>
            <w:pPr>
              <w:pStyle w:val="TableContents"/>
              <w:bidi w:val="0"/>
              <w:spacing w:before="0" w:after="283"/>
              <w:jc w:val="left"/>
              <w:rPr/>
            </w:pPr>
            <w:r>
              <w:rPr/>
              <w:t> </w:t>
            </w:r>
          </w:p>
        </w:tc>
        <w:tc>
          <w:tcPr>
            <w:tcW w:w="9897" w:type="dxa"/>
            <w:tcBorders/>
            <w:vAlign w:val="center"/>
          </w:tcPr>
          <w:p>
            <w:pPr>
              <w:pStyle w:val="TableContents"/>
              <w:bidi w:val="0"/>
              <w:spacing w:before="0" w:after="283"/>
              <w:jc w:val="both"/>
              <w:rPr/>
            </w:pPr>
            <w:r>
              <w:rPr/>
              <w:t> </w:t>
            </w:r>
          </w:p>
        </w:tc>
      </w:tr>
      <w:tr>
        <w:trPr/>
        <w:tc>
          <w:tcPr>
            <w:tcW w:w="308" w:type="dxa"/>
            <w:tcBorders/>
            <w:vAlign w:val="center"/>
          </w:tcPr>
          <w:p>
            <w:pPr>
              <w:pStyle w:val="TableContents"/>
              <w:bidi w:val="0"/>
              <w:spacing w:before="0" w:after="283"/>
              <w:jc w:val="left"/>
              <w:rPr>
                <w:b/>
              </w:rPr>
            </w:pPr>
            <w:r>
              <w:rPr>
                <w:b/>
              </w:rPr>
              <w:t>8.</w:t>
            </w:r>
          </w:p>
        </w:tc>
        <w:tc>
          <w:tcPr>
            <w:tcW w:w="9897" w:type="dxa"/>
            <w:tcBorders/>
            <w:vAlign w:val="center"/>
          </w:tcPr>
          <w:p>
            <w:pPr>
              <w:pStyle w:val="TableContents"/>
              <w:bidi w:val="0"/>
              <w:spacing w:before="0" w:after="283"/>
              <w:jc w:val="both"/>
              <w:rPr/>
            </w:pPr>
            <w:r>
              <w:rPr>
                <w:b/>
              </w:rPr>
              <w:t>Entire Agreement</w:t>
            </w:r>
            <w:r>
              <w:rPr/>
              <w:t>. This Agreement constitutes the entire understanding between the Parties with respect to its subject matter. This Agreement is binding upon the parties and their successors.</w:t>
            </w:r>
          </w:p>
        </w:tc>
      </w:tr>
    </w:tbl>
    <w:tbl>
      <w:tblPr>
        <w:tblW w:w="350" w:type="dxa"/>
        <w:jc w:val="left"/>
        <w:tblInd w:w="0" w:type="dxa"/>
        <w:tblLayout w:type="fixed"/>
        <w:tblCellMar>
          <w:top w:w="0" w:type="dxa"/>
          <w:left w:w="0" w:type="dxa"/>
          <w:bottom w:w="0" w:type="dxa"/>
          <w:right w:w="0" w:type="dxa"/>
        </w:tblCellMar>
      </w:tblPr>
      <w:tblGrid>
        <w:gridCol w:w="75"/>
        <w:gridCol w:w="200"/>
        <w:gridCol w:w="7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center"/>
              <w:rPr/>
            </w:pPr>
            <w:r>
              <w:rPr/>
              <w:t> </w:t>
            </w:r>
            <w:r>
              <w:rPr/>
              <w:t>5</w:t>
            </w:r>
          </w:p>
        </w:tc>
        <w:tc>
          <w:tcPr>
            <w:tcW w:w="75" w:type="dxa"/>
            <w:tcBorders/>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282"/>
        <w:gridCol w:w="9923"/>
      </w:tblGrid>
      <w:tr>
        <w:trPr/>
        <w:tc>
          <w:tcPr>
            <w:tcW w:w="282" w:type="dxa"/>
            <w:tcBorders/>
            <w:vAlign w:val="center"/>
          </w:tcPr>
          <w:p>
            <w:pPr>
              <w:pStyle w:val="TableContents"/>
              <w:bidi w:val="0"/>
              <w:spacing w:before="0" w:after="283"/>
              <w:jc w:val="left"/>
              <w:rPr>
                <w:b/>
              </w:rPr>
            </w:pPr>
            <w:r>
              <w:rPr>
                <w:b/>
              </w:rPr>
              <w:t>9.</w:t>
            </w:r>
          </w:p>
        </w:tc>
        <w:tc>
          <w:tcPr>
            <w:tcW w:w="9923" w:type="dxa"/>
            <w:tcBorders/>
            <w:vAlign w:val="center"/>
          </w:tcPr>
          <w:p>
            <w:pPr>
              <w:pStyle w:val="TableContents"/>
              <w:bidi w:val="0"/>
              <w:spacing w:before="0" w:after="283"/>
              <w:jc w:val="both"/>
              <w:rPr/>
            </w:pPr>
            <w:r>
              <w:rPr>
                <w:b/>
              </w:rPr>
              <w:t>Assignment</w:t>
            </w:r>
            <w:r>
              <w:rPr/>
              <w:t>. This Agreement is assignable by the Company to any of its affiliates, or to a successor or assignee of all or part of its business. Otherwise, this Agreement will not be assignable by either party without the prior written consent of the other party.</w:t>
            </w:r>
          </w:p>
        </w:tc>
      </w:tr>
      <w:tr>
        <w:trPr/>
        <w:tc>
          <w:tcPr>
            <w:tcW w:w="282" w:type="dxa"/>
            <w:tcBorders/>
            <w:vAlign w:val="center"/>
          </w:tcPr>
          <w:p>
            <w:pPr>
              <w:pStyle w:val="TableContents"/>
              <w:bidi w:val="0"/>
              <w:spacing w:before="0" w:after="283"/>
              <w:jc w:val="left"/>
              <w:rPr/>
            </w:pPr>
            <w:r>
              <w:rPr/>
              <w:t> </w:t>
            </w:r>
          </w:p>
        </w:tc>
        <w:tc>
          <w:tcPr>
            <w:tcW w:w="9923" w:type="dxa"/>
            <w:tcBorders/>
            <w:vAlign w:val="center"/>
          </w:tcPr>
          <w:p>
            <w:pPr>
              <w:pStyle w:val="TableContents"/>
              <w:bidi w:val="0"/>
              <w:spacing w:before="0" w:after="283"/>
              <w:jc w:val="both"/>
              <w:rPr/>
            </w:pPr>
            <w:r>
              <w:rPr/>
              <w:t> </w:t>
            </w:r>
          </w:p>
        </w:tc>
      </w:tr>
      <w:tr>
        <w:trPr/>
        <w:tc>
          <w:tcPr>
            <w:tcW w:w="282" w:type="dxa"/>
            <w:tcBorders/>
            <w:vAlign w:val="center"/>
          </w:tcPr>
          <w:p>
            <w:pPr>
              <w:pStyle w:val="TableContents"/>
              <w:bidi w:val="0"/>
              <w:spacing w:before="0" w:after="283"/>
              <w:jc w:val="left"/>
              <w:rPr>
                <w:b/>
              </w:rPr>
            </w:pPr>
            <w:r>
              <w:rPr>
                <w:b/>
              </w:rPr>
              <w:t>10.</w:t>
            </w:r>
          </w:p>
        </w:tc>
        <w:tc>
          <w:tcPr>
            <w:tcW w:w="9923" w:type="dxa"/>
            <w:tcBorders/>
            <w:vAlign w:val="center"/>
          </w:tcPr>
          <w:p>
            <w:pPr>
              <w:pStyle w:val="TableContents"/>
              <w:bidi w:val="0"/>
              <w:spacing w:before="0" w:after="283"/>
              <w:jc w:val="both"/>
              <w:rPr/>
            </w:pPr>
            <w:r>
              <w:rPr>
                <w:b/>
              </w:rPr>
              <w:t>Severability</w:t>
            </w:r>
            <w:r>
              <w:rPr/>
              <w:t>. In the event any provision of this Agreement is held to be illegal, invalid or unenforceable, such provision shall be limited or eliminated to the minimum extent necessary so that this Agreement otherwise remains in full force and effect.</w:t>
            </w:r>
          </w:p>
        </w:tc>
      </w:tr>
      <w:tr>
        <w:trPr/>
        <w:tc>
          <w:tcPr>
            <w:tcW w:w="282" w:type="dxa"/>
            <w:tcBorders/>
            <w:vAlign w:val="center"/>
          </w:tcPr>
          <w:p>
            <w:pPr>
              <w:pStyle w:val="TableContents"/>
              <w:bidi w:val="0"/>
              <w:spacing w:before="0" w:after="283"/>
              <w:jc w:val="left"/>
              <w:rPr/>
            </w:pPr>
            <w:r>
              <w:rPr/>
              <w:t> </w:t>
            </w:r>
          </w:p>
        </w:tc>
        <w:tc>
          <w:tcPr>
            <w:tcW w:w="9923" w:type="dxa"/>
            <w:tcBorders/>
            <w:vAlign w:val="center"/>
          </w:tcPr>
          <w:p>
            <w:pPr>
              <w:pStyle w:val="TableContents"/>
              <w:bidi w:val="0"/>
              <w:spacing w:before="0" w:after="283"/>
              <w:jc w:val="both"/>
              <w:rPr/>
            </w:pPr>
            <w:r>
              <w:rPr/>
              <w:t> </w:t>
            </w:r>
          </w:p>
        </w:tc>
      </w:tr>
      <w:tr>
        <w:trPr/>
        <w:tc>
          <w:tcPr>
            <w:tcW w:w="282" w:type="dxa"/>
            <w:tcBorders/>
            <w:vAlign w:val="center"/>
          </w:tcPr>
          <w:p>
            <w:pPr>
              <w:pStyle w:val="TableContents"/>
              <w:bidi w:val="0"/>
              <w:spacing w:before="0" w:after="283"/>
              <w:jc w:val="left"/>
              <w:rPr>
                <w:b/>
              </w:rPr>
            </w:pPr>
            <w:r>
              <w:rPr>
                <w:b/>
              </w:rPr>
              <w:t>11.</w:t>
            </w:r>
          </w:p>
        </w:tc>
        <w:tc>
          <w:tcPr>
            <w:tcW w:w="9923" w:type="dxa"/>
            <w:tcBorders/>
            <w:vAlign w:val="center"/>
          </w:tcPr>
          <w:p>
            <w:pPr>
              <w:pStyle w:val="TableContents"/>
              <w:bidi w:val="0"/>
              <w:spacing w:before="0" w:after="283"/>
              <w:jc w:val="both"/>
              <w:rPr/>
            </w:pPr>
            <w:r>
              <w:rPr>
                <w:b/>
              </w:rPr>
              <w:t>Modification and Waiver</w:t>
            </w:r>
            <w:r>
              <w:rPr/>
              <w:t>. No waiver or modification of this Agreement will be binding upon either party unless made in writing and signed by both parties, and no failure or delay in enforcing any right will be deemed a waiver.</w:t>
            </w:r>
          </w:p>
        </w:tc>
      </w:tr>
      <w:tr>
        <w:trPr/>
        <w:tc>
          <w:tcPr>
            <w:tcW w:w="282" w:type="dxa"/>
            <w:tcBorders/>
            <w:vAlign w:val="center"/>
          </w:tcPr>
          <w:p>
            <w:pPr>
              <w:pStyle w:val="TableContents"/>
              <w:bidi w:val="0"/>
              <w:spacing w:before="0" w:after="283"/>
              <w:jc w:val="left"/>
              <w:rPr/>
            </w:pPr>
            <w:r>
              <w:rPr/>
              <w:t> </w:t>
            </w:r>
          </w:p>
        </w:tc>
        <w:tc>
          <w:tcPr>
            <w:tcW w:w="9923" w:type="dxa"/>
            <w:tcBorders/>
            <w:vAlign w:val="center"/>
          </w:tcPr>
          <w:p>
            <w:pPr>
              <w:pStyle w:val="TableContents"/>
              <w:bidi w:val="0"/>
              <w:spacing w:before="0" w:after="283"/>
              <w:jc w:val="both"/>
              <w:rPr/>
            </w:pPr>
            <w:r>
              <w:rPr/>
              <w:t> </w:t>
            </w:r>
          </w:p>
        </w:tc>
      </w:tr>
      <w:tr>
        <w:trPr/>
        <w:tc>
          <w:tcPr>
            <w:tcW w:w="282" w:type="dxa"/>
            <w:tcBorders/>
            <w:vAlign w:val="center"/>
          </w:tcPr>
          <w:p>
            <w:pPr>
              <w:pStyle w:val="TableContents"/>
              <w:bidi w:val="0"/>
              <w:spacing w:before="0" w:after="283"/>
              <w:jc w:val="left"/>
              <w:rPr>
                <w:b/>
              </w:rPr>
            </w:pPr>
            <w:r>
              <w:rPr>
                <w:b/>
              </w:rPr>
              <w:t>12.</w:t>
            </w:r>
          </w:p>
        </w:tc>
        <w:tc>
          <w:tcPr>
            <w:tcW w:w="9923" w:type="dxa"/>
            <w:tcBorders/>
            <w:vAlign w:val="center"/>
          </w:tcPr>
          <w:p>
            <w:pPr>
              <w:pStyle w:val="TableContents"/>
              <w:bidi w:val="0"/>
              <w:spacing w:before="0" w:after="283"/>
              <w:jc w:val="both"/>
              <w:rPr/>
            </w:pPr>
            <w:r>
              <w:rPr>
                <w:b/>
              </w:rPr>
              <w:t>Further Assurances</w:t>
            </w:r>
            <w:r>
              <w:rPr/>
              <w:t>. If, at any time before or after the Payment Date, the Company or Investor reasonably believes that any further instruments, deeds, bills of sale, assignments or assurances are reasonably necessary or desirable to consummate the purchase and sale of the Subscription Shares by the Investor or to carry out the purposes and intent of this Agreement, then, subject to the terms and conditions of this Agreement, the Company and Investor shall execute and deliver all such proper deeds, assignments, instruments and assurances and do all other things reasonably necessary or desirable to consummate the transactions and to carry out the purposes and intent of this Agreement.</w:t>
            </w:r>
          </w:p>
        </w:tc>
      </w:tr>
      <w:tr>
        <w:trPr/>
        <w:tc>
          <w:tcPr>
            <w:tcW w:w="282" w:type="dxa"/>
            <w:tcBorders/>
            <w:vAlign w:val="center"/>
          </w:tcPr>
          <w:p>
            <w:pPr>
              <w:pStyle w:val="TableContents"/>
              <w:bidi w:val="0"/>
              <w:spacing w:before="0" w:after="283"/>
              <w:jc w:val="left"/>
              <w:rPr/>
            </w:pPr>
            <w:r>
              <w:rPr/>
              <w:t> </w:t>
            </w:r>
          </w:p>
        </w:tc>
        <w:tc>
          <w:tcPr>
            <w:tcW w:w="9923" w:type="dxa"/>
            <w:tcBorders/>
            <w:vAlign w:val="center"/>
          </w:tcPr>
          <w:p>
            <w:pPr>
              <w:pStyle w:val="TableContents"/>
              <w:bidi w:val="0"/>
              <w:spacing w:before="0" w:after="283"/>
              <w:jc w:val="both"/>
              <w:rPr/>
            </w:pPr>
            <w:r>
              <w:rPr/>
              <w:t> </w:t>
            </w:r>
          </w:p>
        </w:tc>
      </w:tr>
      <w:tr>
        <w:trPr/>
        <w:tc>
          <w:tcPr>
            <w:tcW w:w="282" w:type="dxa"/>
            <w:tcBorders/>
            <w:vAlign w:val="center"/>
          </w:tcPr>
          <w:p>
            <w:pPr>
              <w:pStyle w:val="TableContents"/>
              <w:bidi w:val="0"/>
              <w:spacing w:before="0" w:after="283"/>
              <w:jc w:val="left"/>
              <w:rPr>
                <w:b/>
              </w:rPr>
            </w:pPr>
            <w:r>
              <w:rPr>
                <w:b/>
              </w:rPr>
              <w:t>13.</w:t>
            </w:r>
          </w:p>
        </w:tc>
        <w:tc>
          <w:tcPr>
            <w:tcW w:w="9923" w:type="dxa"/>
            <w:tcBorders/>
            <w:vAlign w:val="center"/>
          </w:tcPr>
          <w:p>
            <w:pPr>
              <w:pStyle w:val="TableContents"/>
              <w:bidi w:val="0"/>
              <w:spacing w:before="0" w:after="283"/>
              <w:jc w:val="both"/>
              <w:rPr/>
            </w:pPr>
            <w:r>
              <w:rPr>
                <w:b/>
              </w:rPr>
              <w:t>Counterparts</w:t>
            </w:r>
            <w:r>
              <w:rPr/>
              <w:t>. This Agreement may be executed in any number of counterparts, each of which shall be an original, but all of which together shall constitute one instrument.</w:t>
            </w:r>
          </w:p>
        </w:tc>
      </w:tr>
    </w:tbl>
    <w:p>
      <w:pPr>
        <w:pStyle w:val="TextBody"/>
        <w:bidi w:val="0"/>
        <w:ind w:left="360" w:right="0" w:hanging="0"/>
        <w:jc w:val="both"/>
        <w:rPr>
          <w:caps w:val="false"/>
          <w:smallCaps w:val="false"/>
        </w:rPr>
      </w:pPr>
      <w:r>
        <w:rPr>
          <w:caps w:val="false"/>
          <w:smallCaps w:val="false"/>
        </w:rPr>
        <w:t> </w:t>
      </w:r>
    </w:p>
    <w:p>
      <w:pPr>
        <w:pStyle w:val="TextBody"/>
        <w:bidi w:val="0"/>
        <w:spacing w:before="0" w:after="0"/>
        <w:ind w:left="60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For confirmation of all of the above, this Agreement may be signed by the parties with a valid electronic signature is in accordance with Act, no. 55/2019, on electronic identification and trust service for electronic commerce</w:t>
      </w:r>
    </w:p>
    <w:p>
      <w:pPr>
        <w:pStyle w:val="TextBody"/>
        <w:bidi w:val="0"/>
        <w:jc w:val="both"/>
        <w:rPr>
          <w:caps w:val="false"/>
          <w:smallCaps w:val="false"/>
        </w:rPr>
      </w:pPr>
      <w:r>
        <w:rPr>
          <w:caps w:val="false"/>
          <w:smallCaps w:val="false"/>
        </w:rPr>
        <w:t> </w:t>
      </w:r>
    </w:p>
    <w:p>
      <w:pPr>
        <w:pStyle w:val="TextBody"/>
        <w:bidi w:val="0"/>
        <w:jc w:val="center"/>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[Signature Page Follows]</w:t>
      </w:r>
    </w:p>
    <w:tbl>
      <w:tblPr>
        <w:tblW w:w="350" w:type="dxa"/>
        <w:jc w:val="left"/>
        <w:tblInd w:w="0" w:type="dxa"/>
        <w:tblLayout w:type="fixed"/>
        <w:tblCellMar>
          <w:top w:w="0" w:type="dxa"/>
          <w:left w:w="0" w:type="dxa"/>
          <w:bottom w:w="0" w:type="dxa"/>
          <w:right w:w="0" w:type="dxa"/>
        </w:tblCellMar>
      </w:tblPr>
      <w:tblGrid>
        <w:gridCol w:w="75"/>
        <w:gridCol w:w="200"/>
        <w:gridCol w:w="7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center"/>
              <w:rPr/>
            </w:pPr>
            <w:r>
              <w:rPr/>
              <w:t> </w:t>
            </w:r>
            <w:r>
              <w:rPr/>
              <w:t>6</w:t>
            </w:r>
          </w:p>
        </w:tc>
        <w:tc>
          <w:tcPr>
            <w:tcW w:w="75" w:type="dxa"/>
            <w:tcBorders/>
            <w:vAlign w:val="center"/>
          </w:tcPr>
          <w:p>
            <w:pPr>
              <w:pStyle w:val="TableContents"/>
              <w:bidi w:val="0"/>
              <w:spacing w:before="0" w:after="283"/>
              <w:jc w:val="left"/>
              <w:rPr/>
            </w:pPr>
            <w:r>
              <w:rPr/>
              <w:t> </w:t>
            </w:r>
          </w:p>
        </w:tc>
      </w:tr>
    </w:tbl>
    <w:p>
      <w:pPr>
        <w:pStyle w:val="TextBody"/>
        <w:bidi w:val="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 WITNESS WHEREOF, the parties hereto have executed this Agreement as of the date first written above.</w:t>
      </w:r>
    </w:p>
    <w:p>
      <w:pPr>
        <w:pStyle w:val="TextBody"/>
        <w:bidi w:val="0"/>
        <w:jc w:val="left"/>
        <w:rPr>
          <w:caps w:val="false"/>
          <w:smallCaps w:val="false"/>
        </w:rPr>
      </w:pPr>
      <w:r>
        <w:rPr>
          <w:caps w:val="false"/>
          <w:smallCaps w:val="false"/>
        </w:rPr>
        <w:t> </w:t>
      </w:r>
    </w:p>
    <w:tbl>
      <w:tblPr>
        <w:tblW w:w="1990" w:type="dxa"/>
        <w:jc w:val="left"/>
        <w:tblInd w:w="0" w:type="dxa"/>
        <w:tblLayout w:type="fixed"/>
        <w:tblCellMar>
          <w:top w:w="0" w:type="dxa"/>
          <w:left w:w="0" w:type="dxa"/>
          <w:bottom w:w="0" w:type="dxa"/>
          <w:right w:w="0" w:type="dxa"/>
        </w:tblCellMar>
      </w:tblPr>
      <w:tblGrid>
        <w:gridCol w:w="75"/>
        <w:gridCol w:w="835"/>
        <w:gridCol w:w="85"/>
        <w:gridCol w:w="60"/>
        <w:gridCol w:w="780"/>
        <w:gridCol w:w="80"/>
        <w:gridCol w:w="75"/>
      </w:tblGrid>
      <w:tr>
        <w:trPr/>
        <w:tc>
          <w:tcPr>
            <w:tcW w:w="75" w:type="dxa"/>
            <w:tcBorders/>
            <w:vAlign w:val="center"/>
          </w:tcPr>
          <w:p>
            <w:pPr>
              <w:pStyle w:val="TableContents"/>
              <w:bidi w:val="0"/>
              <w:spacing w:before="0" w:after="283"/>
              <w:jc w:val="left"/>
              <w:rPr/>
            </w:pPr>
            <w:r>
              <w:rPr/>
              <w:t> </w:t>
            </w:r>
          </w:p>
        </w:tc>
        <w:tc>
          <w:tcPr>
            <w:tcW w:w="920" w:type="dxa"/>
            <w:gridSpan w:val="2"/>
            <w:tcBorders/>
            <w:vAlign w:val="center"/>
          </w:tcPr>
          <w:p>
            <w:pPr>
              <w:pStyle w:val="TableContents"/>
              <w:bidi w:val="0"/>
              <w:spacing w:before="0" w:after="283"/>
              <w:jc w:val="left"/>
              <w:rPr>
                <w:b/>
              </w:rPr>
            </w:pPr>
            <w:r>
              <w:rPr>
                <w:b/>
              </w:rPr>
              <w:t>Alvotech</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b/>
              </w:rPr>
            </w:pPr>
            <w:r>
              <w:rPr>
                <w:b/>
              </w:rPr>
              <w:t>Investor</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35"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35" w:type="dxa"/>
            <w:tcBorders/>
            <w:vAlign w:val="center"/>
          </w:tcPr>
          <w:p>
            <w:pPr>
              <w:pStyle w:val="TableContents"/>
              <w:bidi w:val="0"/>
              <w:spacing w:before="0" w:after="283"/>
              <w:jc w:val="left"/>
              <w:rPr/>
            </w:pPr>
            <w:r>
              <w:rPr/>
              <w:t>By:</w:t>
            </w:r>
          </w:p>
        </w:tc>
        <w:tc>
          <w:tcPr>
            <w:tcW w:w="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0" w:type="dxa"/>
            <w:tcBorders/>
            <w:vAlign w:val="center"/>
          </w:tcPr>
          <w:p>
            <w:pPr>
              <w:pStyle w:val="TableContents"/>
              <w:bidi w:val="0"/>
              <w:spacing w:before="0" w:after="283"/>
              <w:jc w:val="left"/>
              <w:rPr/>
            </w:pPr>
            <w:r>
              <w:rPr/>
              <w:t>By:</w:t>
            </w:r>
          </w:p>
        </w:tc>
        <w:tc>
          <w:tcPr>
            <w:tcW w:w="8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35"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35" w:type="dxa"/>
            <w:tcBorders/>
            <w:vAlign w:val="center"/>
          </w:tcPr>
          <w:p>
            <w:pPr>
              <w:pStyle w:val="TableContents"/>
              <w:bidi w:val="0"/>
              <w:spacing w:before="0" w:after="283"/>
              <w:jc w:val="left"/>
              <w:rPr/>
            </w:pPr>
            <w:r>
              <w:rPr/>
              <w:t>Name: </w:t>
            </w:r>
          </w:p>
        </w:tc>
        <w:tc>
          <w:tcPr>
            <w:tcW w:w="8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0" w:type="dxa"/>
            <w:tcBorders/>
            <w:vAlign w:val="center"/>
          </w:tcPr>
          <w:p>
            <w:pPr>
              <w:pStyle w:val="TableContents"/>
              <w:bidi w:val="0"/>
              <w:spacing w:before="0" w:after="283"/>
              <w:jc w:val="left"/>
              <w:rPr/>
            </w:pPr>
            <w:r>
              <w:rPr/>
              <w:t>Name: </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35"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35" w:type="dxa"/>
            <w:tcBorders/>
            <w:vAlign w:val="center"/>
          </w:tcPr>
          <w:p>
            <w:pPr>
              <w:pStyle w:val="TableContents"/>
              <w:bidi w:val="0"/>
              <w:spacing w:before="0" w:after="283"/>
              <w:jc w:val="left"/>
              <w:rPr/>
            </w:pPr>
            <w:r>
              <w:rPr/>
              <w:t>Title:</w:t>
            </w:r>
          </w:p>
        </w:tc>
        <w:tc>
          <w:tcPr>
            <w:tcW w:w="8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0" w:type="dxa"/>
            <w:tcBorders/>
            <w:vAlign w:val="center"/>
          </w:tcPr>
          <w:p>
            <w:pPr>
              <w:pStyle w:val="TableContents"/>
              <w:bidi w:val="0"/>
              <w:spacing w:before="0" w:after="283"/>
              <w:jc w:val="left"/>
              <w:rPr/>
            </w:pPr>
            <w:r>
              <w:rPr/>
              <w:t>Title:</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35"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35" w:type="dxa"/>
            <w:tcBorders/>
            <w:vAlign w:val="center"/>
          </w:tcPr>
          <w:p>
            <w:pPr>
              <w:pStyle w:val="TableContents"/>
              <w:bidi w:val="0"/>
              <w:spacing w:before="0" w:after="283"/>
              <w:jc w:val="left"/>
              <w:rPr/>
            </w:pPr>
            <w:r>
              <w:rPr/>
              <w:t>Date:</w:t>
            </w:r>
          </w:p>
        </w:tc>
        <w:tc>
          <w:tcPr>
            <w:tcW w:w="8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0" w:type="dxa"/>
            <w:tcBorders/>
            <w:vAlign w:val="center"/>
          </w:tcPr>
          <w:p>
            <w:pPr>
              <w:pStyle w:val="TableContents"/>
              <w:bidi w:val="0"/>
              <w:spacing w:before="0" w:after="283"/>
              <w:jc w:val="left"/>
              <w:rPr/>
            </w:pPr>
            <w:r>
              <w:rPr/>
              <w:t>Date:</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tbl>
      <w:tblPr>
        <w:tblW w:w="350" w:type="dxa"/>
        <w:jc w:val="left"/>
        <w:tblInd w:w="0" w:type="dxa"/>
        <w:tblLayout w:type="fixed"/>
        <w:tblCellMar>
          <w:top w:w="0" w:type="dxa"/>
          <w:left w:w="0" w:type="dxa"/>
          <w:bottom w:w="0" w:type="dxa"/>
          <w:right w:w="0" w:type="dxa"/>
        </w:tblCellMar>
      </w:tblPr>
      <w:tblGrid>
        <w:gridCol w:w="75"/>
        <w:gridCol w:w="200"/>
        <w:gridCol w:w="7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center"/>
              <w:rPr/>
            </w:pPr>
            <w:r>
              <w:rPr/>
              <w:t> </w:t>
            </w:r>
            <w:r>
              <w:rPr/>
              <w:t>7</w:t>
            </w:r>
          </w:p>
        </w:tc>
        <w:tc>
          <w:tcPr>
            <w:tcW w:w="75" w:type="dxa"/>
            <w:tcBorders/>
            <w:vAlign w:val="center"/>
          </w:tcPr>
          <w:p>
            <w:pPr>
              <w:pStyle w:val="TableContents"/>
              <w:bidi w:val="0"/>
              <w:spacing w:before="0" w:after="283"/>
              <w:jc w:val="left"/>
              <w:rPr/>
            </w:pPr>
            <w:r>
              <w:rPr/>
              <w:t> </w:t>
            </w:r>
          </w:p>
        </w:tc>
      </w:tr>
    </w:tbl>
    <w:p>
      <w:pPr>
        <w:pStyle w:val="TextBody"/>
        <w:bidi w:val="0"/>
        <w:jc w:val="right"/>
        <w:rPr>
          <w:rFonts w:ascii="Arial;Helvetica;Sans-Serif" w:hAnsi="Arial;Helvetica;Sans-Serif"/>
          <w:b/>
          <w:i w:val="false"/>
          <w:caps w:val="false"/>
          <w:smallCaps w:val="false"/>
          <w:sz w:val="20"/>
        </w:rPr>
      </w:pPr>
      <w:bookmarkStart w:id="33" w:name="c116686_ex99-1.htm"/>
      <w:bookmarkStart w:id="34" w:name="ksc116686_ex991"/>
      <w:bookmarkEnd w:id="33"/>
      <w:bookmarkEnd w:id="34"/>
      <w:r>
        <w:rPr>
          <w:rFonts w:ascii="Arial;Helvetica;Sans-Serif" w:hAnsi="Arial;Helvetica;Sans-Serif"/>
          <w:b/>
          <w:i w:val="false"/>
          <w:caps w:val="false"/>
          <w:smallCaps w:val="false"/>
          <w:sz w:val="20"/>
        </w:rPr>
        <w:t>Exhibit 99.1</w:t>
      </w:r>
      <w:r>
        <w:br w:type="page"/>
      </w:r>
    </w:p>
    <w:p>
      <w:pPr>
        <w:pStyle w:val="TextBody"/>
        <w:bidi w:val="0"/>
        <w:jc w:val="center"/>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905000" cy="3429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05000" cy="342900"/>
                    </a:xfrm>
                    <a:prstGeom prst="rect">
                      <a:avLst/>
                    </a:prstGeom>
                  </pic:spPr>
                </pic:pic>
              </a:graphicData>
            </a:graphic>
          </wp:inline>
        </w:drawing>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i w:val="false"/>
          <w:caps w:val="false"/>
          <w:smallCaps w:val="false"/>
          <w:color w:val="0A0A0A"/>
          <w:sz w:val="32"/>
        </w:rPr>
      </w:pPr>
      <w:r>
        <w:rPr>
          <w:rFonts w:ascii="Arial;Helvetica;Sans-Serif" w:hAnsi="Arial;Helvetica;Sans-Serif"/>
          <w:b/>
          <w:i w:val="false"/>
          <w:caps w:val="false"/>
          <w:smallCaps w:val="false"/>
          <w:color w:val="0A0A0A"/>
          <w:sz w:val="32"/>
        </w:rPr>
        <w:t>Alvotech Announces Proposed $125 Million Public Offering and Concurrent Private Placement of Ordinary Shares</w:t>
      </w:r>
    </w:p>
    <w:p>
      <w:pPr>
        <w:pStyle w:val="TextBody"/>
        <w:bidi w:val="0"/>
        <w:spacing w:before="0" w:after="0"/>
        <w:ind w:left="0" w:right="0" w:hanging="0"/>
        <w:jc w:val="center"/>
        <w:rPr>
          <w:caps w:val="false"/>
          <w:smallCaps w:val="false"/>
          <w:color w:val="0A0A0A"/>
        </w:rPr>
      </w:pPr>
      <w:r>
        <w:rPr>
          <w:caps w:val="false"/>
          <w:smallCaps w:val="false"/>
          <w:color w:val="0A0A0A"/>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i w:val="false"/>
          <w:smallCaps/>
          <w:sz w:val="20"/>
        </w:rPr>
        <w:t xml:space="preserve">REYKJAVIK, </w:t>
      </w:r>
      <w:r>
        <w:rPr>
          <w:rFonts w:ascii="Arial;Helvetica;Sans-Serif" w:hAnsi="Arial;Helvetica;Sans-Serif"/>
          <w:b/>
          <w:i w:val="false"/>
          <w:caps w:val="false"/>
          <w:smallCaps w:val="false"/>
          <w:sz w:val="20"/>
        </w:rPr>
        <w:t xml:space="preserve">ICELAND (June 15, 2026) </w:t>
      </w:r>
      <w:r>
        <w:rPr>
          <w:rFonts w:ascii="Arial;Helvetica;Sans-Serif" w:hAnsi="Arial;Helvetica;Sans-Serif"/>
          <w:b w:val="false"/>
          <w:i w:val="false"/>
          <w:caps w:val="false"/>
          <w:smallCaps w:val="false"/>
          <w:sz w:val="20"/>
        </w:rPr>
        <w:t>— Alvotech (NASDAQ: ALVO; ALVO-SDB) (“Alvotech” or the “Company”), a global biotechnology company specializing in the development and manufacture of biosimilar medicines for patients worldwide, today announced that it has commenced an underwritten public offering of its ordinary shares (the “Offering”). In addition, Alvotech expects to grant the underwriters a 30-day option to purchase up to an additional 15% of the ordinary shares sold in the public offering at the public offering price, less underwriting discounts and commissions. The Offering is subject to market and other conditions, and there can be no assurance as to whether or when the Offering may be completed, or as to the actual size or terms of the Offering. All of the shares in the Offering are to be issued and sold by Alvotech.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Concurrent with the Offering, Alvotech expects to enter into Subscription Agreement(s) with certain investors that are professional clients or eligible counterparties in the European Economic Area falling within article 1(4) of Regulation (EU) 2017/1129, pursuant to which Alvotech will issue and sell ordinary shares to such investors at the public offering price of the Offering, in a private placement exempt from the registration requirements of the Securities Act of 1933, as amended, subject to the consummation of the Offering and other customary conditions. However, the consummation of the Offering is not contingent on the consummation of the concurrent private placement.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Alvotech anticipates the gross proceeds from the Offering and concurrent private placement to be approximately $125 million. The allocation of ordinary shares between the Offering and concurrent private placement have not yet been determined and will be subject to the pricing of the offerings.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Alvotech intends to use the net proceeds from this Offering and the concurrent private placement to fund the continued development of its biosimilar assets, as well as working capital and general corporate purposes, which may include, among others, intellectual property protection and enforcement, commercial expenditures, capital expenditures, acquisitions or collaborations, pre-clinical and clinical development of its product candidates, research and development and product development, pre-commercialization activities and repayment or refinancing of indebtedness or other corporate borrowings.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BofA Securities, Jefferies and Evercore ISI are acting as joint book-running managers for the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proposed Offering will be made pursuant to a registration statement on Form F-3, including a base prospectus, that was previously filed with the U.S. Securities and Exchange Commission (“SEC”) on October 20, 2023, and declared effective on October 30, 2023. The ordinary shares referred to in this press release will be offered in the United States only by means of a prospectus supplement and the accompanying prospectus that forms a part of the registration statement. Copies of the preliminary prospectus supplement and the accompanying prospectus related to this Offering may be obtained, when available, from: BofA Securities, Attention: Prospectus Department, 201 North Tryon Street, Charlotte, NC 28255-0001, or by email at dg.prospectus_requests@bofa.com;</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caps w:val="false"/>
          <w:smallCaps w:val="false"/>
        </w:rPr>
      </w:pPr>
      <w:r>
        <w:rPr>
          <w:caps w:val="false"/>
          <w:smallCaps w:val="false"/>
        </w:rPr>
        <w:drawing>
          <wp:inline distT="0" distB="0" distL="0" distR="0">
            <wp:extent cx="1905000" cy="3429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905000" cy="34290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Jefferies LLC, Attention: Equity Syndicate Prospectus Department, 520 Madison Avenue, New York, NY 10022, by telephone at (877) 821-7388, or by email at prospectus_department@jefferies.com; or Evercore Group L.L.C., Attention: Equity Capital Markets, 55 East 52nd Street, 35th Floor, New York, NY 10055, by telephone at (888) 474-0200, or by email at ecm.prospectus@evercore.com. Investors may also obtain these documents at no cost by visiting the SEC’s website at </w:t>
      </w:r>
      <w:r>
        <w:rPr>
          <w:rFonts w:ascii="Arial;Helvetica;Sans-Serif" w:hAnsi="Arial;Helvetica;Sans-Serif"/>
          <w:b w:val="false"/>
          <w:i w:val="false"/>
          <w:caps w:val="false"/>
          <w:smallCaps w:val="false"/>
          <w:color w:val="0000FF"/>
          <w:sz w:val="20"/>
          <w:u w:val="single"/>
        </w:rPr>
        <w:t>http://www.sec.gov</w:t>
      </w:r>
      <w:r>
        <w:rPr>
          <w:rFonts w:ascii="Arial;Helvetica;Sans-Serif" w:hAnsi="Arial;Helvetica;San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About Alvotech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Alvotech is a biotechnology company, founded by Robert Wessman, focused solely on the development and manufacture of biosimilar medicines for patients worldwide. Alvotech seeks to be a global leader in biosimilars by delivering high-quality, cost-effective products and services, enabled by a fully integrated approach and broad in-house capabilities. Five biosimilars are already approved and marketed in multiple global markets, including biosimilars to Humira</w:t>
      </w:r>
      <w:r>
        <w:rPr>
          <w:rFonts w:ascii="Arial;Helvetica;Sans-Serif" w:hAnsi="Arial;Helvetica;Sans-Serif"/>
          <w:b w:val="false"/>
          <w:i w:val="false"/>
          <w:caps w:val="false"/>
          <w:smallCaps w:val="false"/>
          <w:position w:val="7"/>
          <w:sz w:val="16"/>
          <w:sz w:val="20"/>
        </w:rPr>
        <w:t>®</w:t>
      </w:r>
      <w:r>
        <w:rPr>
          <w:rFonts w:ascii="Arial;Helvetica;Sans-Serif" w:hAnsi="Arial;Helvetica;Sans-Serif"/>
          <w:b w:val="false"/>
          <w:i w:val="false"/>
          <w:caps w:val="false"/>
          <w:smallCaps w:val="false"/>
          <w:sz w:val="20"/>
        </w:rPr>
        <w:t xml:space="preserve"> (adalimumab), Stelara</w:t>
      </w:r>
      <w:r>
        <w:rPr>
          <w:rFonts w:ascii="Arial;Helvetica;Sans-Serif" w:hAnsi="Arial;Helvetica;Sans-Serif"/>
          <w:b w:val="false"/>
          <w:i w:val="false"/>
          <w:caps w:val="false"/>
          <w:smallCaps w:val="false"/>
          <w:position w:val="7"/>
          <w:sz w:val="16"/>
          <w:sz w:val="20"/>
        </w:rPr>
        <w:t>®</w:t>
      </w:r>
      <w:r>
        <w:rPr>
          <w:rFonts w:ascii="Arial;Helvetica;Sans-Serif" w:hAnsi="Arial;Helvetica;Sans-Serif"/>
          <w:b w:val="false"/>
          <w:i w:val="false"/>
          <w:caps w:val="false"/>
          <w:smallCaps w:val="false"/>
          <w:sz w:val="20"/>
        </w:rPr>
        <w:t xml:space="preserve"> (ustekinumab), Simponi</w:t>
      </w:r>
      <w:r>
        <w:rPr>
          <w:rFonts w:ascii="Arial;Helvetica;Sans-Serif" w:hAnsi="Arial;Helvetica;Sans-Serif"/>
          <w:b w:val="false"/>
          <w:i w:val="false"/>
          <w:caps w:val="false"/>
          <w:smallCaps w:val="false"/>
          <w:position w:val="7"/>
          <w:sz w:val="16"/>
          <w:sz w:val="20"/>
        </w:rPr>
        <w:t>®</w:t>
      </w:r>
      <w:r>
        <w:rPr>
          <w:rFonts w:ascii="Arial;Helvetica;Sans-Serif" w:hAnsi="Arial;Helvetica;Sans-Serif"/>
          <w:b w:val="false"/>
          <w:i w:val="false"/>
          <w:caps w:val="false"/>
          <w:smallCaps w:val="false"/>
          <w:sz w:val="20"/>
        </w:rPr>
        <w:t xml:space="preserve"> (golimumab), Eylea</w:t>
      </w:r>
      <w:r>
        <w:rPr>
          <w:rFonts w:ascii="Arial;Helvetica;Sans-Serif" w:hAnsi="Arial;Helvetica;Sans-Serif"/>
          <w:b w:val="false"/>
          <w:i w:val="false"/>
          <w:caps w:val="false"/>
          <w:smallCaps w:val="false"/>
          <w:position w:val="7"/>
          <w:sz w:val="16"/>
          <w:sz w:val="20"/>
        </w:rPr>
        <w:t xml:space="preserve">® </w:t>
      </w:r>
      <w:r>
        <w:rPr>
          <w:rFonts w:ascii="Arial;Helvetica;Sans-Serif" w:hAnsi="Arial;Helvetica;Sans-Serif"/>
          <w:b w:val="false"/>
          <w:i w:val="false"/>
          <w:caps w:val="false"/>
          <w:smallCaps w:val="false"/>
          <w:sz w:val="20"/>
        </w:rPr>
        <w:t>(aflibercept) and Prolia</w:t>
      </w:r>
      <w:r>
        <w:rPr>
          <w:rFonts w:ascii="Arial;Helvetica;Sans-Serif" w:hAnsi="Arial;Helvetica;Sans-Serif"/>
          <w:b w:val="false"/>
          <w:i w:val="false"/>
          <w:caps w:val="false"/>
          <w:smallCaps w:val="false"/>
          <w:position w:val="7"/>
          <w:sz w:val="16"/>
          <w:sz w:val="20"/>
        </w:rPr>
        <w:t>®</w:t>
      </w:r>
      <w:r>
        <w:rPr>
          <w:rFonts w:ascii="Arial;Helvetica;Sans-Serif" w:hAnsi="Arial;Helvetica;Sans-Serif"/>
          <w:b w:val="false"/>
          <w:i w:val="false"/>
          <w:caps w:val="false"/>
          <w:smallCaps w:val="false"/>
          <w:sz w:val="20"/>
        </w:rPr>
        <w:t>/Xgeva</w:t>
      </w:r>
      <w:r>
        <w:rPr>
          <w:rFonts w:ascii="Arial;Helvetica;Sans-Serif" w:hAnsi="Arial;Helvetica;Sans-Serif"/>
          <w:b w:val="false"/>
          <w:i w:val="false"/>
          <w:caps w:val="false"/>
          <w:smallCaps w:val="false"/>
          <w:position w:val="7"/>
          <w:sz w:val="16"/>
          <w:sz w:val="20"/>
        </w:rPr>
        <w:t xml:space="preserve">® </w:t>
      </w:r>
      <w:r>
        <w:rPr>
          <w:rFonts w:ascii="Arial;Helvetica;Sans-Serif" w:hAnsi="Arial;Helvetica;Sans-Serif"/>
          <w:b w:val="false"/>
          <w:i w:val="false"/>
          <w:caps w:val="false"/>
          <w:smallCaps w:val="false"/>
          <w:sz w:val="20"/>
        </w:rPr>
        <w:t>(denosumab). The current development pipeline includes nine disclosed biosimilar candidates aimed at treating autoimmune disorders, eye disorders, osteoporosis, respiratory disease, and cancer. Alvotech has formed a network of strategic commercial partnerships to provide global reach and leverage local expertise in markets that include the United States, Europe, Japan, China, and other Asian countries and large parts of South America, Africa and the Middle East.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Important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This press release shall not constitute an offer to sell or the solicitation of an offer to buy these shares, nor shall there be any sale of these shares, in any state or jurisdiction in which such offer, solicitation or sale would be unlawful prior to registration or qualification under the securities laws of any such state or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distribution of this document may, in certain jurisdictions, be restricted by local legislations. Persons into whose possession this document comes are required to inform themselves about and to observe any such potential local restrictions.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This press release is not a prospectus for the purposes of Regulation (EU) 2017/1129 of the European Parliament and of the Council of June 14, 2017 on the prospectus to be published when shares are offered to the public admitted to trading on a regulated market, as amended (the “Prospectus Regulation”) and has not been approved by any regulatory authority in any jurisdiction. The Company has not authorized any offer to the public of shares or other securities in any member state of the EEA and no prospectus has been or will be prepared in connection with the Offering. In any EEA Member State, this communication is only addressed to and is only directed at “qualified investors” in that Member State within the meaning of the Prospectus Regulation.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With respect to the member States of the European Economic Area (a “Relevant Member State”), no action has been undertaken or will be undertaken to make an offer to the public of the shares referred to herein requiring a publication of a prospectus in any Relevant Member State. As a result, </w:t>
      </w:r>
    </w:p>
    <w:p>
      <w:pPr>
        <w:pStyle w:val="TextBody"/>
        <w:bidi w:val="0"/>
        <w:spacing w:before="0" w:after="0"/>
        <w:ind w:left="0" w:right="0" w:hanging="0"/>
        <w:jc w:val="left"/>
        <w:rPr>
          <w:caps w:val="false"/>
          <w:smallCaps w:val="false"/>
        </w:rPr>
      </w:pPr>
      <w:r>
        <w:rPr>
          <w:caps w:val="false"/>
          <w:smallCaps w:val="false"/>
        </w:rPr>
        <w:t> </w:t>
      </w:r>
    </w:p>
    <w:tbl>
      <w:tblPr>
        <w:tblW w:w="7380" w:type="dxa"/>
        <w:jc w:val="left"/>
        <w:tblInd w:w="0" w:type="dxa"/>
        <w:tblLayout w:type="fixed"/>
        <w:tblCellMar>
          <w:top w:w="0" w:type="dxa"/>
          <w:left w:w="0" w:type="dxa"/>
          <w:bottom w:w="0" w:type="dxa"/>
          <w:right w:w="0" w:type="dxa"/>
        </w:tblCellMar>
      </w:tblPr>
      <w:tblGrid>
        <w:gridCol w:w="75"/>
        <w:gridCol w:w="2225"/>
        <w:gridCol w:w="2135"/>
        <w:gridCol w:w="2945"/>
      </w:tblGrid>
      <w:tr>
        <w:trPr/>
        <w:tc>
          <w:tcPr>
            <w:tcW w:w="75" w:type="dxa"/>
            <w:tcBorders/>
            <w:vAlign w:val="center"/>
          </w:tcPr>
          <w:p>
            <w:pPr>
              <w:pStyle w:val="TableContents"/>
              <w:bidi w:val="0"/>
              <w:spacing w:before="0" w:after="283"/>
              <w:jc w:val="right"/>
              <w:rPr/>
            </w:pPr>
            <w:r>
              <w:rPr/>
              <w:t> </w:t>
            </w:r>
          </w:p>
        </w:tc>
        <w:tc>
          <w:tcPr>
            <w:tcW w:w="2225" w:type="dxa"/>
            <w:tcBorders/>
            <w:vAlign w:val="center"/>
          </w:tcPr>
          <w:p>
            <w:pPr>
              <w:pStyle w:val="TableContents"/>
              <w:bidi w:val="0"/>
              <w:spacing w:before="0" w:after="283"/>
              <w:jc w:val="left"/>
              <w:rPr>
                <w:color w:val="191919"/>
              </w:rPr>
            </w:pPr>
            <w:r>
              <w:rPr>
                <w:color w:val="191919"/>
              </w:rPr>
              <w:t>Sæmundargata 15-19</w:t>
            </w:r>
          </w:p>
        </w:tc>
        <w:tc>
          <w:tcPr>
            <w:tcW w:w="2135" w:type="dxa"/>
            <w:tcBorders/>
            <w:vAlign w:val="center"/>
          </w:tcPr>
          <w:p>
            <w:pPr>
              <w:pStyle w:val="TableContents"/>
              <w:bidi w:val="0"/>
              <w:spacing w:before="0" w:after="283"/>
              <w:jc w:val="left"/>
              <w:rPr>
                <w:color w:val="191919"/>
              </w:rPr>
            </w:pPr>
            <w:r>
              <w:rPr>
                <w:color w:val="191919"/>
              </w:rPr>
              <w:t>Phone +354 422 4500</w:t>
            </w:r>
          </w:p>
        </w:tc>
        <w:tc>
          <w:tcPr>
            <w:tcW w:w="2945" w:type="dxa"/>
            <w:tcBorders/>
            <w:vAlign w:val="center"/>
          </w:tcPr>
          <w:p>
            <w:pPr>
              <w:pStyle w:val="TableContents"/>
              <w:bidi w:val="0"/>
              <w:spacing w:before="0" w:after="283"/>
              <w:jc w:val="left"/>
              <w:rPr>
                <w:color w:val="191919"/>
              </w:rPr>
            </w:pPr>
            <w:r>
              <w:rPr>
                <w:color w:val="191919"/>
              </w:rPr>
              <w:t>alvotech.media@alvotech.com</w:t>
            </w:r>
          </w:p>
        </w:tc>
      </w:tr>
      <w:tr>
        <w:trPr/>
        <w:tc>
          <w:tcPr>
            <w:tcW w:w="75"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color w:val="191919"/>
              </w:rPr>
            </w:pPr>
            <w:r>
              <w:rPr>
                <w:color w:val="191919"/>
              </w:rPr>
              <w:t>102 Reykjavík, Iceland</w:t>
            </w:r>
          </w:p>
        </w:tc>
        <w:tc>
          <w:tcPr>
            <w:tcW w:w="2135" w:type="dxa"/>
            <w:tcBorders/>
            <w:vAlign w:val="center"/>
          </w:tcPr>
          <w:p>
            <w:pPr>
              <w:pStyle w:val="TableContents"/>
              <w:bidi w:val="0"/>
              <w:spacing w:before="0" w:after="283"/>
              <w:jc w:val="left"/>
              <w:rPr>
                <w:color w:val="191919"/>
              </w:rPr>
            </w:pPr>
            <w:r>
              <w:rPr>
                <w:color w:val="191919"/>
              </w:rPr>
              <w:t> </w:t>
            </w:r>
          </w:p>
        </w:tc>
        <w:tc>
          <w:tcPr>
            <w:tcW w:w="2945" w:type="dxa"/>
            <w:tcBorders/>
            <w:vAlign w:val="center"/>
          </w:tcPr>
          <w:p>
            <w:pPr>
              <w:pStyle w:val="TableContents"/>
              <w:bidi w:val="0"/>
              <w:spacing w:before="0" w:after="283"/>
              <w:jc w:val="left"/>
              <w:rPr>
                <w:b/>
                <w:color w:val="E29E23"/>
              </w:rPr>
            </w:pPr>
            <w:r>
              <w:rPr>
                <w:b/>
                <w:color w:val="E29E23"/>
              </w:rPr>
              <w:t>www.alvotech.com</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caps w:val="false"/>
          <w:smallCaps w:val="false"/>
        </w:rPr>
      </w:pPr>
      <w:r>
        <w:rPr>
          <w:caps w:val="false"/>
          <w:smallCaps w:val="false"/>
        </w:rPr>
        <w:drawing>
          <wp:inline distT="0" distB="0" distL="0" distR="0">
            <wp:extent cx="1905000" cy="3429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905000" cy="34290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shares may not and will not be offered in any Relevant Member State except in accordance with the exemptions set forth in Article 1(4)(d) of the Prospectus Regulation or under any other circumstances which do not require the publication by the Company of a prospectus pursuant to Article 3 of the Prospectus Regulation and/or to applicable regulations of that Relevant Member State.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 addition, in the United Kingdom, this announcement is directed at and for distribution only to Qualified Investors who are (i) persons who have professional experience in matters relating to investments falling within Article 19(5) of the Financial Services and Markets Act (Financial Promotion) Order 2005, as amended (the “Order”), or (ii) persons who are high net worth entities falling within Article 49(2)(a) to (d) of the Order, and (iii) other persons to whom this announcement may otherwise lawfully be communicated (all such persons together being referred to as “Relevant Persons”). The shares referred to herein are only available to, and any invitation, offer or agreement to subscribe, purchase or otherwise acquire such shares will be engaged in only with Relevant Persons. Any person who is not a Relevant Person should not act or rely on this communication or any of its contents.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No announcement or information regarding this Offering may be disseminated to the public in jurisdictions where a prior registration or approval is required for such purpose. Other than the registration statement filed with the SEC, no steps have been taken, or will be taken, for the Offering of shares in any jurisdiction where such steps would be required. The issue or sale of shares, and the subscription for or purchase of shares, are subject to special legal or statutory restrictions in certain jurisdictions. This press release contains inside information within the meaning of MAR that Alvotech is legally obliged</w:t>
      </w:r>
    </w:p>
    <w:p>
      <w:pPr>
        <w:pStyle w:val="TextBody"/>
        <w:bidi w:val="0"/>
        <w:spacing w:before="0" w:after="0"/>
        <w:ind w:left="0" w:right="0" w:hanging="0"/>
        <w:jc w:val="left"/>
        <w:rPr>
          <w:caps w:val="false"/>
          <w:smallCaps w:val="false"/>
        </w:rPr>
      </w:pPr>
      <w:r>
        <w:rPr>
          <w:caps w:val="false"/>
          <w:smallCaps w:val="false"/>
        </w:rPr>
        <w:t> </w:t>
      </w:r>
    </w:p>
    <w:tbl>
      <w:tblPr>
        <w:tblW w:w="7380" w:type="dxa"/>
        <w:jc w:val="left"/>
        <w:tblInd w:w="0" w:type="dxa"/>
        <w:tblLayout w:type="fixed"/>
        <w:tblCellMar>
          <w:top w:w="0" w:type="dxa"/>
          <w:left w:w="0" w:type="dxa"/>
          <w:bottom w:w="0" w:type="dxa"/>
          <w:right w:w="0" w:type="dxa"/>
        </w:tblCellMar>
      </w:tblPr>
      <w:tblGrid>
        <w:gridCol w:w="75"/>
        <w:gridCol w:w="2225"/>
        <w:gridCol w:w="2135"/>
        <w:gridCol w:w="2945"/>
      </w:tblGrid>
      <w:tr>
        <w:trPr/>
        <w:tc>
          <w:tcPr>
            <w:tcW w:w="75" w:type="dxa"/>
            <w:tcBorders/>
            <w:vAlign w:val="center"/>
          </w:tcPr>
          <w:p>
            <w:pPr>
              <w:pStyle w:val="TableContents"/>
              <w:bidi w:val="0"/>
              <w:spacing w:before="0" w:after="283"/>
              <w:jc w:val="right"/>
              <w:rPr/>
            </w:pPr>
            <w:r>
              <w:rPr/>
              <w:t> </w:t>
            </w:r>
          </w:p>
        </w:tc>
        <w:tc>
          <w:tcPr>
            <w:tcW w:w="2225" w:type="dxa"/>
            <w:tcBorders/>
            <w:vAlign w:val="center"/>
          </w:tcPr>
          <w:p>
            <w:pPr>
              <w:pStyle w:val="TableContents"/>
              <w:bidi w:val="0"/>
              <w:spacing w:before="0" w:after="283"/>
              <w:jc w:val="left"/>
              <w:rPr>
                <w:color w:val="191919"/>
              </w:rPr>
            </w:pPr>
            <w:r>
              <w:rPr>
                <w:color w:val="191919"/>
              </w:rPr>
              <w:t>Sæmundargata 15-19</w:t>
            </w:r>
          </w:p>
        </w:tc>
        <w:tc>
          <w:tcPr>
            <w:tcW w:w="2135" w:type="dxa"/>
            <w:tcBorders/>
            <w:vAlign w:val="center"/>
          </w:tcPr>
          <w:p>
            <w:pPr>
              <w:pStyle w:val="TableContents"/>
              <w:bidi w:val="0"/>
              <w:spacing w:before="0" w:after="283"/>
              <w:jc w:val="left"/>
              <w:rPr>
                <w:color w:val="191919"/>
              </w:rPr>
            </w:pPr>
            <w:r>
              <w:rPr>
                <w:color w:val="191919"/>
              </w:rPr>
              <w:t>Phone +354 422 4500</w:t>
            </w:r>
          </w:p>
        </w:tc>
        <w:tc>
          <w:tcPr>
            <w:tcW w:w="2945" w:type="dxa"/>
            <w:tcBorders/>
            <w:vAlign w:val="center"/>
          </w:tcPr>
          <w:p>
            <w:pPr>
              <w:pStyle w:val="TableContents"/>
              <w:bidi w:val="0"/>
              <w:spacing w:before="0" w:after="283"/>
              <w:jc w:val="left"/>
              <w:rPr>
                <w:color w:val="191919"/>
              </w:rPr>
            </w:pPr>
            <w:r>
              <w:rPr>
                <w:color w:val="191919"/>
              </w:rPr>
              <w:t>alvotech.media@alvotech.com</w:t>
            </w:r>
          </w:p>
        </w:tc>
      </w:tr>
      <w:tr>
        <w:trPr/>
        <w:tc>
          <w:tcPr>
            <w:tcW w:w="75"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color w:val="191919"/>
              </w:rPr>
            </w:pPr>
            <w:r>
              <w:rPr>
                <w:color w:val="191919"/>
              </w:rPr>
              <w:t>102 Reykjavík, Iceland</w:t>
            </w:r>
          </w:p>
        </w:tc>
        <w:tc>
          <w:tcPr>
            <w:tcW w:w="2135" w:type="dxa"/>
            <w:tcBorders/>
            <w:vAlign w:val="center"/>
          </w:tcPr>
          <w:p>
            <w:pPr>
              <w:pStyle w:val="TableContents"/>
              <w:bidi w:val="0"/>
              <w:spacing w:before="0" w:after="283"/>
              <w:jc w:val="left"/>
              <w:rPr>
                <w:color w:val="191919"/>
              </w:rPr>
            </w:pPr>
            <w:r>
              <w:rPr>
                <w:color w:val="191919"/>
              </w:rPr>
              <w:t> </w:t>
            </w:r>
          </w:p>
        </w:tc>
        <w:tc>
          <w:tcPr>
            <w:tcW w:w="2945" w:type="dxa"/>
            <w:tcBorders/>
            <w:vAlign w:val="center"/>
          </w:tcPr>
          <w:p>
            <w:pPr>
              <w:pStyle w:val="TableContents"/>
              <w:bidi w:val="0"/>
              <w:spacing w:before="0" w:after="283"/>
              <w:jc w:val="left"/>
              <w:rPr>
                <w:b/>
                <w:color w:val="E29E23"/>
              </w:rPr>
            </w:pPr>
            <w:r>
              <w:rPr>
                <w:b/>
                <w:color w:val="E29E23"/>
              </w:rPr>
              <w:t>www.alvotech.com</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caps w:val="false"/>
          <w:smallCaps w:val="false"/>
        </w:rPr>
      </w:pPr>
      <w:r>
        <w:rPr>
          <w:caps w:val="false"/>
          <w:smallCaps w:val="false"/>
        </w:rPr>
        <w:drawing>
          <wp:inline distT="0" distB="0" distL="0" distR="0">
            <wp:extent cx="1905000" cy="3429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905000" cy="34290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to publish. The information was released for publication, through the agency of the contact persons below, at the date and time indicated by the dateline of publication.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Forward 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Certain statements in this communication may be considered “forward-looking statements” within the meaning of the Private Securities Litigation Reform Act of 1995, as amended. Forward-looking statements include, but are not limited to, Alvotech’s expectations regarding its ability to consummate the proposed Offering and the concurrent private placement, the timing, size and use of proceeds of the Offering and the concurrent private placement, and Alvotech’s intent to grant the underwriters a 30-day option to purchase additional ordinary shares in the Offering. In some cases, you can identify forward-looking statements by terminology such as “may”, “should”, “expect”, “intend”, “will”, “estimate”, “anticipate”, “believe”, “predict”, “potential”, “aim” or “continue”, or the negatives of these terms or variations of them or similar terminology. Such forward-looking statements are subject to risks, uncertainties, and other factors which could cause actual results to differ materially from those expressed or implied by such forward-looking statements. These forward-looking statements are based upon estimates and assumptions that, while considered reasonable by Alvotech and its management, are inherently uncertain and are inherently subject to risks, variability, and contingencies, many of which are beyond Alvotech’s control. Factors that may cause actual results to differ materially from current expectations include, but are not limited to: whether or not we will be able to consummate the Offering the final terms of the offering, the satisfaction of customary conditions precedent to close the proposed Offering and concurrent private placement, and other risks and uncertainties set forth in the sections entitled “Risk Factors” and “Cautionary Note Regarding Forward-Looking Statements” in documents that Alvotech may from time to time file or furnish with the SEC, including the preliminary prospectus supplement and the accompanying prospectus related to this Offering and the Company’s most recent annual report on Form 20-F. There may be additional risks that Alvotech does not presently know or that Alvotech currently believes are immaterial that could also cause actual results to differ from those contained in the forward-looking statements. These forward-looking statements are provided for illustrative purposes only and are not intended to serve as a representation, guarantee, assurance, prediction or definitive statement of a fact or probability. You should not place undue reliance on forward-looking statements, which speak only as of the date they are made. Alvotech does not undertake any duty to update these forward-looking statements or to inform the recipient of any matters of which any of them becomes aware of which may affect any matter referred to in this communication.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Media</w:t>
      </w:r>
      <w:r>
        <w:rPr>
          <w:rFonts w:ascii="Arial;Helvetica;Sans-Serif" w:hAnsi="Arial;Helvetica;Sans-Serif"/>
          <w:b w:val="false"/>
          <w:i w:val="false"/>
          <w:caps w:val="false"/>
          <w:smallCaps w:val="false"/>
          <w:sz w:val="20"/>
        </w:rPr>
        <w:br/>
        <w:t>Benedikt Stefansson</w:t>
        <w:br/>
        <w:t>Sarah MacLeod</w:t>
        <w:br/>
      </w:r>
      <w:r>
        <w:rPr>
          <w:rFonts w:ascii="Arial;Helvetica;Sans-Serif" w:hAnsi="Arial;Helvetica;Sans-Serif"/>
          <w:b w:val="false"/>
          <w:i w:val="false"/>
          <w:caps w:val="false"/>
          <w:smallCaps w:val="false"/>
          <w:color w:val="0000FF"/>
          <w:sz w:val="20"/>
          <w:u w:val="single"/>
        </w:rPr>
        <w:t>alvotech.media@alvotech.com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Investors</w:t>
      </w:r>
      <w:r>
        <w:rPr>
          <w:rFonts w:ascii="Arial;Helvetica;Sans-Serif" w:hAnsi="Arial;Helvetica;Sans-Serif"/>
          <w:b w:val="false"/>
          <w:i w:val="false"/>
          <w:caps w:val="false"/>
          <w:smallCaps w:val="false"/>
          <w:sz w:val="20"/>
        </w:rPr>
        <w:br/>
        <w:t>Dr. Balaji V Prasad</w:t>
        <w:br/>
        <w:t>Benedikt Stefansson</w:t>
        <w:br/>
      </w:r>
      <w:r>
        <w:rPr>
          <w:rFonts w:ascii="Arial;Helvetica;Sans-Serif" w:hAnsi="Arial;Helvetica;Sans-Serif"/>
          <w:b w:val="false"/>
          <w:i w:val="false"/>
          <w:caps w:val="false"/>
          <w:smallCaps w:val="false"/>
          <w:color w:val="0000FF"/>
          <w:sz w:val="20"/>
          <w:u w:val="single"/>
        </w:rPr>
        <w:t>alvotech.ir@alvotech.com</w:t>
      </w:r>
    </w:p>
    <w:p>
      <w:pPr>
        <w:pStyle w:val="TextBody"/>
        <w:bidi w:val="0"/>
        <w:spacing w:before="0" w:after="0"/>
        <w:ind w:left="0" w:right="0" w:hanging="0"/>
        <w:jc w:val="left"/>
        <w:rPr>
          <w:caps w:val="false"/>
          <w:smallCaps w:val="false"/>
        </w:rPr>
      </w:pPr>
      <w:r>
        <w:rPr>
          <w:caps w:val="false"/>
          <w:smallCaps w:val="false"/>
        </w:rPr>
        <w:t> </w:t>
      </w:r>
    </w:p>
    <w:tbl>
      <w:tblPr>
        <w:tblW w:w="7380" w:type="dxa"/>
        <w:jc w:val="left"/>
        <w:tblInd w:w="0" w:type="dxa"/>
        <w:tblLayout w:type="fixed"/>
        <w:tblCellMar>
          <w:top w:w="0" w:type="dxa"/>
          <w:left w:w="0" w:type="dxa"/>
          <w:bottom w:w="0" w:type="dxa"/>
          <w:right w:w="0" w:type="dxa"/>
        </w:tblCellMar>
      </w:tblPr>
      <w:tblGrid>
        <w:gridCol w:w="75"/>
        <w:gridCol w:w="2225"/>
        <w:gridCol w:w="2135"/>
        <w:gridCol w:w="2945"/>
      </w:tblGrid>
      <w:tr>
        <w:trPr/>
        <w:tc>
          <w:tcPr>
            <w:tcW w:w="75" w:type="dxa"/>
            <w:tcBorders/>
            <w:vAlign w:val="center"/>
          </w:tcPr>
          <w:p>
            <w:pPr>
              <w:pStyle w:val="TableContents"/>
              <w:bidi w:val="0"/>
              <w:spacing w:before="0" w:after="283"/>
              <w:jc w:val="right"/>
              <w:rPr/>
            </w:pPr>
            <w:r>
              <w:rPr/>
              <w:t> </w:t>
            </w:r>
          </w:p>
        </w:tc>
        <w:tc>
          <w:tcPr>
            <w:tcW w:w="2225" w:type="dxa"/>
            <w:tcBorders/>
            <w:vAlign w:val="center"/>
          </w:tcPr>
          <w:p>
            <w:pPr>
              <w:pStyle w:val="TableContents"/>
              <w:bidi w:val="0"/>
              <w:spacing w:before="0" w:after="283"/>
              <w:jc w:val="left"/>
              <w:rPr>
                <w:color w:val="191919"/>
              </w:rPr>
            </w:pPr>
            <w:r>
              <w:rPr>
                <w:color w:val="191919"/>
              </w:rPr>
              <w:t>Sæmundargata 15-19</w:t>
            </w:r>
          </w:p>
        </w:tc>
        <w:tc>
          <w:tcPr>
            <w:tcW w:w="2135" w:type="dxa"/>
            <w:tcBorders/>
            <w:vAlign w:val="center"/>
          </w:tcPr>
          <w:p>
            <w:pPr>
              <w:pStyle w:val="TableContents"/>
              <w:bidi w:val="0"/>
              <w:spacing w:before="0" w:after="283"/>
              <w:jc w:val="left"/>
              <w:rPr>
                <w:color w:val="191919"/>
              </w:rPr>
            </w:pPr>
            <w:r>
              <w:rPr>
                <w:color w:val="191919"/>
              </w:rPr>
              <w:t>Phone +354 422 4500</w:t>
            </w:r>
          </w:p>
        </w:tc>
        <w:tc>
          <w:tcPr>
            <w:tcW w:w="2945" w:type="dxa"/>
            <w:tcBorders/>
            <w:vAlign w:val="center"/>
          </w:tcPr>
          <w:p>
            <w:pPr>
              <w:pStyle w:val="TableContents"/>
              <w:bidi w:val="0"/>
              <w:spacing w:before="0" w:after="283"/>
              <w:jc w:val="left"/>
              <w:rPr>
                <w:color w:val="191919"/>
              </w:rPr>
            </w:pPr>
            <w:r>
              <w:rPr>
                <w:color w:val="191919"/>
              </w:rPr>
              <w:t>alvotech.media@alvotech.com</w:t>
            </w:r>
          </w:p>
        </w:tc>
      </w:tr>
      <w:tr>
        <w:trPr/>
        <w:tc>
          <w:tcPr>
            <w:tcW w:w="75"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color w:val="191919"/>
              </w:rPr>
            </w:pPr>
            <w:r>
              <w:rPr>
                <w:color w:val="191919"/>
              </w:rPr>
              <w:t>102 Reykjavík, Iceland</w:t>
            </w:r>
          </w:p>
        </w:tc>
        <w:tc>
          <w:tcPr>
            <w:tcW w:w="2135" w:type="dxa"/>
            <w:tcBorders/>
            <w:vAlign w:val="center"/>
          </w:tcPr>
          <w:p>
            <w:pPr>
              <w:pStyle w:val="TableContents"/>
              <w:bidi w:val="0"/>
              <w:spacing w:before="0" w:after="283"/>
              <w:jc w:val="left"/>
              <w:rPr>
                <w:color w:val="191919"/>
              </w:rPr>
            </w:pPr>
            <w:r>
              <w:rPr>
                <w:color w:val="191919"/>
              </w:rPr>
              <w:t> </w:t>
            </w:r>
          </w:p>
        </w:tc>
        <w:tc>
          <w:tcPr>
            <w:tcW w:w="2945" w:type="dxa"/>
            <w:tcBorders/>
            <w:vAlign w:val="center"/>
          </w:tcPr>
          <w:p>
            <w:pPr>
              <w:pStyle w:val="TableContents"/>
              <w:bidi w:val="0"/>
              <w:spacing w:before="0" w:after="283"/>
              <w:jc w:val="left"/>
              <w:rPr>
                <w:b/>
                <w:color w:val="E29E23"/>
              </w:rPr>
            </w:pPr>
            <w:r>
              <w:rPr>
                <w:b/>
                <w:color w:val="E29E23"/>
              </w:rPr>
              <w:t>www.alvotech.com</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right"/>
        <w:rPr>
          <w:rFonts w:ascii="Arial;Helvetica;Sans-Serif" w:hAnsi="Arial;Helvetica;Sans-Serif"/>
          <w:b/>
          <w:i w:val="false"/>
          <w:caps w:val="false"/>
          <w:smallCaps w:val="false"/>
          <w:sz w:val="20"/>
        </w:rPr>
      </w:pPr>
      <w:bookmarkStart w:id="35" w:name="c116686_ex99-2.htm"/>
      <w:bookmarkStart w:id="36" w:name="ksc116686_ex992"/>
      <w:bookmarkEnd w:id="35"/>
      <w:bookmarkEnd w:id="36"/>
      <w:r>
        <w:rPr>
          <w:rFonts w:ascii="Arial;Helvetica;Sans-Serif" w:hAnsi="Arial;Helvetica;Sans-Serif"/>
          <w:b/>
          <w:i w:val="false"/>
          <w:caps w:val="false"/>
          <w:smallCaps w:val="false"/>
          <w:sz w:val="20"/>
        </w:rPr>
        <w:t>Exhibit 99.2</w:t>
      </w:r>
      <w:r>
        <w:br w:type="page"/>
      </w:r>
    </w:p>
    <w:p>
      <w:pPr>
        <w:pStyle w:val="TextBody"/>
        <w:bidi w:val="0"/>
        <w:jc w:val="center"/>
        <w:rPr>
          <w:caps w:val="false"/>
          <w:smallCaps w:val="false"/>
        </w:rPr>
      </w:pPr>
      <w:r>
        <w:rPr>
          <w:caps w:val="false"/>
          <w:smallCaps w:val="false"/>
        </w:rPr>
        <w:t> </w:t>
      </w:r>
    </w:p>
    <w:p>
      <w:pPr>
        <w:pStyle w:val="TextBody"/>
        <w:bidi w:val="0"/>
        <w:jc w:val="center"/>
        <w:rPr>
          <w:caps w:val="false"/>
          <w:smallCaps w:val="false"/>
          <w:color w:val="0A0A0A"/>
        </w:rPr>
      </w:pPr>
      <w:r>
        <w:rPr>
          <w:caps w:val="false"/>
          <w:smallCaps w:val="false"/>
          <w:color w:val="0A0A0A"/>
        </w:rPr>
        <w:t> </w:t>
      </w:r>
    </w:p>
    <w:p>
      <w:pPr>
        <w:pStyle w:val="TextBody"/>
        <w:bidi w:val="0"/>
        <w:jc w:val="left"/>
        <w:rPr>
          <w:caps w:val="false"/>
          <w:smallCaps w:val="false"/>
          <w:color w:val="0A0A0A"/>
        </w:rPr>
      </w:pPr>
      <w:r>
        <w:rPr>
          <w:caps w:val="false"/>
          <w:smallCaps w:val="false"/>
          <w:color w:val="0A0A0A"/>
        </w:rPr>
        <w:drawing>
          <wp:inline distT="0" distB="0" distL="0" distR="0">
            <wp:extent cx="1857375" cy="3238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857375" cy="323850"/>
                    </a:xfrm>
                    <a:prstGeom prst="rect">
                      <a:avLst/>
                    </a:prstGeom>
                  </pic:spPr>
                </pic:pic>
              </a:graphicData>
            </a:graphic>
          </wp:inline>
        </w:drawing>
      </w:r>
    </w:p>
    <w:p>
      <w:pPr>
        <w:pStyle w:val="TextBody"/>
        <w:bidi w:val="0"/>
        <w:jc w:val="center"/>
        <w:rPr>
          <w:caps w:val="false"/>
          <w:smallCaps w:val="false"/>
          <w:color w:val="0A0A0A"/>
        </w:rPr>
      </w:pPr>
      <w:r>
        <w:rPr>
          <w:caps w:val="false"/>
          <w:smallCaps w:val="false"/>
          <w:color w:val="0A0A0A"/>
        </w:rPr>
        <w:t> </w:t>
      </w:r>
    </w:p>
    <w:p>
      <w:pPr>
        <w:pStyle w:val="TextBody"/>
        <w:bidi w:val="0"/>
        <w:jc w:val="center"/>
        <w:rPr>
          <w:rFonts w:ascii="Arial;Helvetica;Sans-Serif" w:hAnsi="Arial;Helvetica;Sans-Serif"/>
          <w:b/>
          <w:i w:val="false"/>
          <w:caps w:val="false"/>
          <w:smallCaps w:val="false"/>
          <w:color w:val="0A0A0A"/>
          <w:sz w:val="32"/>
        </w:rPr>
      </w:pPr>
      <w:r>
        <w:rPr>
          <w:rFonts w:ascii="Arial;Helvetica;Sans-Serif" w:hAnsi="Arial;Helvetica;Sans-Serif"/>
          <w:b/>
          <w:i w:val="false"/>
          <w:caps w:val="false"/>
          <w:smallCaps w:val="false"/>
          <w:color w:val="0A0A0A"/>
          <w:sz w:val="32"/>
        </w:rPr>
        <w:t>Alvotech Announces Pricing of $152 Million Public Offering of</w:t>
        <w:br/>
        <w:t>Ordinary Shares and Concurrent Private Placement</w:t>
      </w:r>
    </w:p>
    <w:p>
      <w:pPr>
        <w:pStyle w:val="TextBody"/>
        <w:bidi w:val="0"/>
        <w:jc w:val="center"/>
        <w:rPr>
          <w:caps w:val="false"/>
          <w:smallCaps w:val="false"/>
          <w:color w:val="0A0A0A"/>
        </w:rPr>
      </w:pPr>
      <w:r>
        <w:rPr>
          <w:caps w:val="false"/>
          <w:smallCaps w:val="false"/>
          <w:color w:val="0A0A0A"/>
        </w:rPr>
        <w:t> </w:t>
      </w:r>
    </w:p>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i w:val="false"/>
          <w:smallCaps/>
          <w:sz w:val="20"/>
        </w:rPr>
        <w:t xml:space="preserve">REYKJAVIK, </w:t>
      </w:r>
      <w:r>
        <w:rPr>
          <w:rFonts w:ascii="Arial;Helvetica;Sans-Serif" w:hAnsi="Arial;Helvetica;Sans-Serif"/>
          <w:b/>
          <w:i w:val="false"/>
          <w:caps w:val="false"/>
          <w:smallCaps w:val="false"/>
          <w:sz w:val="20"/>
        </w:rPr>
        <w:t xml:space="preserve">ICELAND (June 16, 2026) </w:t>
      </w:r>
      <w:r>
        <w:rPr>
          <w:rFonts w:ascii="Arial;Helvetica;Sans-Serif" w:hAnsi="Arial;Helvetica;Sans-Serif"/>
          <w:b w:val="false"/>
          <w:i w:val="false"/>
          <w:caps w:val="false"/>
          <w:smallCaps w:val="false"/>
          <w:sz w:val="20"/>
        </w:rPr>
        <w:t>— Alvotech (NASDAQ: ALVO; ALVO-SDB) (“Alvotech” or the “Company”), a global biotechnology company specializing in the development and manufacture of biosimilar medicines for patients worldwide, today announced the pricing of its previously announced underwritten public offering (the “Offering”) of 22,666,667 of its ordinary shares at an offering price of $3.75 per share. All ordinary shares to be sold in the Offering will be offered by Alvotech. The Offering is expected to close on or about June 17, 2026, subject to satisfaction of customary closing conditions. The Company has also granted the underwriters a 30-day option to purchase up to an additional 3,400,000 ordinary shares at the public offering price, less underwriting discounts and commissions. Before deducting the underwriting discounts and commissions and offering expenses, the Company expects to receive total gross proceeds of approximately $85 million from the Offering, or approximately $98 million if the underwriters exercise in full their option to purchase additional shares.</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Concurrent with the Offering, Alvotech has entered into Subscription Agreement(s) with certain investors that are professional clients or eligible counterparties in the European Economic Area falling within article 1(4) of Regulation (EU) 2017/1129, pursuant to which Alvotech will issue and sell 17,826,666 ordinary shares to such investors at a price of $3.75 per ordinary share, which represents the per share public offering price, in a private placement exempt from the registration requirements of the Securities Act of 1933, as amended. The gross proceeds from the concurrent private placement, before deducting any transaction-related expenses, are expected to be approximately $67 million. The concurrent private placement is expected to close on or about June 25, 2026, subject to the consummation of the Offering and other customary conditions. However, the consummation of the Offering is not contingent on the consummation of the concurrent private placement.</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total gross proceeds from the Offering and the concurrent private placement are expected to be approximately $152 million, or approximately $165 million if the underwriters exercise in full their option to purchase additional shares, in each case before deducting underwriting discounts and commissions and estimated offering expenses payable.</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Alvotech intends to use the net proceeds from this Offering and the concurrent private placement to fund the continued development of its biosimilar assets, as well as working capital and general corporate purposes, which may include, among others, intellectual property protection and enforcement, commercial expenditures, capital expenditures, acquisitions or collaborations, pre-clinical and clinical development of its product candidates, research and development and product development, pre-commercialization activities and repayment or refinancing of indebtedness or other corporate borrowings.</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BofA Securities, Jefferies and Evercore ISI are acting as joint book-running managers for the Offering.</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Offering is being made pursuant to a registration statement on Form F-3, including a base prospectus, that was previously filed with the U.S. Securities and Exchange Commission (“SEC”) on October 20, 2023, and declared effective on October 30, 2023. The ordinary shares referred to in this press release are being offered in the United States only by means of a prospectus supplement and the accompanying prospectus that forms a part of the registration statement. Copies of the final</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jc w:val="left"/>
        <w:rPr>
          <w:caps w:val="false"/>
          <w:smallCaps w:val="false"/>
        </w:rPr>
      </w:pPr>
      <w:r>
        <w:rPr>
          <w:caps w:val="false"/>
          <w:smallCaps w:val="false"/>
        </w:rPr>
        <w:drawing>
          <wp:inline distT="0" distB="0" distL="0" distR="0">
            <wp:extent cx="1857375" cy="3238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857375" cy="323850"/>
                    </a:xfrm>
                    <a:prstGeom prst="rect">
                      <a:avLst/>
                    </a:prstGeom>
                  </pic:spPr>
                </pic:pic>
              </a:graphicData>
            </a:graphic>
          </wp:inline>
        </w:drawing>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prospectus supplement and the accompanying prospectus related to this Offering may be obtained, when available, from: BofA Securities, Attention: Prospectus Department 201 North Tryon Street, Charlotte, NC 28255-0001, or by email at dg.prospectus_requests@bofa.com; Jefferies LLC, Attention: Equity Syndicate Prospectus Department, 520 Madison Avenue, New York, NY 10022, by telephone at (877) 821-7388, or by email at prospectus_department@jefferies.com; or Evercore Group L.L.C., Attention: Equity Capital Markets, 55 East 52nd Street, 35th Floor, New York, NY 10055, by telephone at (888) 474-0200, or by email at ecm.prospectus@evercore.com. Investors may also obtain these documents at no cost by visiting the SEC’s website at </w:t>
      </w:r>
      <w:r>
        <w:rPr>
          <w:rFonts w:ascii="Arial;Helvetica;Sans-Serif" w:hAnsi="Arial;Helvetica;Sans-Serif"/>
          <w:b w:val="false"/>
          <w:i w:val="false"/>
          <w:caps w:val="false"/>
          <w:smallCaps w:val="false"/>
          <w:color w:val="0000FF"/>
          <w:sz w:val="20"/>
          <w:u w:val="single"/>
        </w:rPr>
        <w:t>http://www.sec.gov</w:t>
      </w:r>
      <w:r>
        <w:rPr>
          <w:rFonts w:ascii="Arial;Helvetica;Sans-Serif" w:hAnsi="Arial;Helvetica;San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About Alvotech</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Alvotech is a biotechnology company, founded by Robert Wessman, focused solely on the development and manufacture of biosimilar medicines for patients worldwide. Alvotech seeks to be a global leader in biosimilars by delivering high-quality, cost-effective products and services, enabled by a fully integrated approach and broad in-house capabilities. Five biosimilars are already approved and marketed in multiple global markets, including biosimilars to Humira</w:t>
      </w:r>
      <w:r>
        <w:rPr>
          <w:rFonts w:ascii="Arial;Helvetica;Sans-Serif" w:hAnsi="Arial;Helvetica;Sans-Serif"/>
          <w:b w:val="false"/>
          <w:i w:val="false"/>
          <w:caps w:val="false"/>
          <w:smallCaps w:val="false"/>
          <w:position w:val="7"/>
          <w:sz w:val="16"/>
          <w:sz w:val="20"/>
        </w:rPr>
        <w:t>®</w:t>
      </w:r>
      <w:r>
        <w:rPr>
          <w:rFonts w:ascii="Arial;Helvetica;Sans-Serif" w:hAnsi="Arial;Helvetica;Sans-Serif"/>
          <w:b w:val="false"/>
          <w:i w:val="false"/>
          <w:caps w:val="false"/>
          <w:smallCaps w:val="false"/>
          <w:sz w:val="20"/>
        </w:rPr>
        <w:t xml:space="preserve"> (adalimumab), Stelara</w:t>
      </w:r>
      <w:r>
        <w:rPr>
          <w:rFonts w:ascii="Arial;Helvetica;Sans-Serif" w:hAnsi="Arial;Helvetica;Sans-Serif"/>
          <w:b w:val="false"/>
          <w:i w:val="false"/>
          <w:caps w:val="false"/>
          <w:smallCaps w:val="false"/>
          <w:position w:val="7"/>
          <w:sz w:val="16"/>
          <w:sz w:val="20"/>
        </w:rPr>
        <w:t>®</w:t>
      </w:r>
      <w:r>
        <w:rPr>
          <w:rFonts w:ascii="Arial;Helvetica;Sans-Serif" w:hAnsi="Arial;Helvetica;Sans-Serif"/>
          <w:b w:val="false"/>
          <w:i w:val="false"/>
          <w:caps w:val="false"/>
          <w:smallCaps w:val="false"/>
          <w:sz w:val="20"/>
        </w:rPr>
        <w:t xml:space="preserve"> (ustekinumab), Simponi</w:t>
      </w:r>
      <w:r>
        <w:rPr>
          <w:rFonts w:ascii="Arial;Helvetica;Sans-Serif" w:hAnsi="Arial;Helvetica;Sans-Serif"/>
          <w:b w:val="false"/>
          <w:i w:val="false"/>
          <w:caps w:val="false"/>
          <w:smallCaps w:val="false"/>
          <w:position w:val="7"/>
          <w:sz w:val="16"/>
          <w:sz w:val="20"/>
        </w:rPr>
        <w:t>®</w:t>
      </w:r>
      <w:r>
        <w:rPr>
          <w:rFonts w:ascii="Arial;Helvetica;Sans-Serif" w:hAnsi="Arial;Helvetica;Sans-Serif"/>
          <w:b w:val="false"/>
          <w:i w:val="false"/>
          <w:caps w:val="false"/>
          <w:smallCaps w:val="false"/>
          <w:sz w:val="20"/>
        </w:rPr>
        <w:t xml:space="preserve"> (golimumab), Eylea</w:t>
      </w:r>
      <w:r>
        <w:rPr>
          <w:rFonts w:ascii="Arial;Helvetica;Sans-Serif" w:hAnsi="Arial;Helvetica;Sans-Serif"/>
          <w:b w:val="false"/>
          <w:i w:val="false"/>
          <w:caps w:val="false"/>
          <w:smallCaps w:val="false"/>
          <w:position w:val="7"/>
          <w:sz w:val="16"/>
          <w:sz w:val="20"/>
        </w:rPr>
        <w:t xml:space="preserve">® </w:t>
      </w:r>
      <w:r>
        <w:rPr>
          <w:rFonts w:ascii="Arial;Helvetica;Sans-Serif" w:hAnsi="Arial;Helvetica;Sans-Serif"/>
          <w:b w:val="false"/>
          <w:i w:val="false"/>
          <w:caps w:val="false"/>
          <w:smallCaps w:val="false"/>
          <w:sz w:val="20"/>
        </w:rPr>
        <w:t>(aflibercept) and Prolia</w:t>
      </w:r>
      <w:r>
        <w:rPr>
          <w:rFonts w:ascii="Arial;Helvetica;Sans-Serif" w:hAnsi="Arial;Helvetica;Sans-Serif"/>
          <w:b w:val="false"/>
          <w:i w:val="false"/>
          <w:caps w:val="false"/>
          <w:smallCaps w:val="false"/>
          <w:position w:val="7"/>
          <w:sz w:val="16"/>
          <w:sz w:val="20"/>
        </w:rPr>
        <w:t>®</w:t>
      </w:r>
      <w:r>
        <w:rPr>
          <w:rFonts w:ascii="Arial;Helvetica;Sans-Serif" w:hAnsi="Arial;Helvetica;Sans-Serif"/>
          <w:b w:val="false"/>
          <w:i w:val="false"/>
          <w:caps w:val="false"/>
          <w:smallCaps w:val="false"/>
          <w:sz w:val="20"/>
        </w:rPr>
        <w:t>/Xgeva</w:t>
      </w:r>
      <w:r>
        <w:rPr>
          <w:rFonts w:ascii="Arial;Helvetica;Sans-Serif" w:hAnsi="Arial;Helvetica;Sans-Serif"/>
          <w:b w:val="false"/>
          <w:i w:val="false"/>
          <w:caps w:val="false"/>
          <w:smallCaps w:val="false"/>
          <w:position w:val="7"/>
          <w:sz w:val="16"/>
          <w:sz w:val="20"/>
        </w:rPr>
        <w:t>®</w:t>
      </w:r>
      <w:r>
        <w:rPr>
          <w:rFonts w:ascii="Arial;Helvetica;Sans-Serif" w:hAnsi="Arial;Helvetica;Sans-Serif"/>
          <w:b w:val="false"/>
          <w:i w:val="false"/>
          <w:caps w:val="false"/>
          <w:smallCaps w:val="false"/>
          <w:sz w:val="20"/>
        </w:rPr>
        <w:t xml:space="preserve"> (denosumab). The current development pipeline includes nine disclosed biosimilar candidates aimed at treating autoimmune disorders, eye disorders, osteoporosis, respiratory disease, and cancer. Alvotech has formed a network of strategic commercial partnerships to provide global reach and leverage local expertise in markets that include the United States, Europe, Japan, China, and other Asian countries and large parts of South America, Africa and the Middle East.</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Important information</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This press release shall not constitute an offer to sell or the solicitation of an offer to buy these shares, nor shall there be any sale of these shares, in any state or jurisdiction in which such offer, solicitation or sale would be unlawful prior to registration or qualification under the securities laws of any such state or jurisdiction.</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distribution of this document may, in certain jurisdictions, be restricted by local legislations. Persons into whose possession this document comes are required to inform themselves about and to observe any such potential local restrictions.</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This press release is not a prospectus for the purposes of Regulation (EU) 2017/1129 of the European Parliament and of the Council of June 14, 2017 on the prospectus to be published when shares are offered to the public admitted to trading on a regulated market, as amended (the “Prospectus Regulation”) and has not been approved by any regulatory authority in any jurisdiction. The Company has not authorized any offer to the public of shares or other securities in any member state of the EEA and no prospectus has been or will be prepared in connection with the Offering. In any EEA Member State, this communication is only addressed to and is only directed at “qualified investors” in that Member State within the meaning of the Prospectus Regulation.</w:t>
      </w:r>
    </w:p>
    <w:p>
      <w:pPr>
        <w:pStyle w:val="TextBody"/>
        <w:bidi w:val="0"/>
        <w:jc w:val="left"/>
        <w:rPr>
          <w:caps w:val="false"/>
          <w:smallCaps w:val="false"/>
        </w:rPr>
      </w:pPr>
      <w:r>
        <w:rPr>
          <w:caps w:val="false"/>
          <w:smallCaps w:val="false"/>
        </w:rPr>
        <w:t> </w:t>
      </w:r>
    </w:p>
    <w:tbl>
      <w:tblPr>
        <w:tblW w:w="7380" w:type="dxa"/>
        <w:jc w:val="left"/>
        <w:tblInd w:w="0" w:type="dxa"/>
        <w:tblLayout w:type="fixed"/>
        <w:tblCellMar>
          <w:top w:w="0" w:type="dxa"/>
          <w:left w:w="0" w:type="dxa"/>
          <w:bottom w:w="0" w:type="dxa"/>
          <w:right w:w="0" w:type="dxa"/>
        </w:tblCellMar>
      </w:tblPr>
      <w:tblGrid>
        <w:gridCol w:w="75"/>
        <w:gridCol w:w="2225"/>
        <w:gridCol w:w="2135"/>
        <w:gridCol w:w="2945"/>
      </w:tblGrid>
      <w:tr>
        <w:trPr/>
        <w:tc>
          <w:tcPr>
            <w:tcW w:w="75" w:type="dxa"/>
            <w:tcBorders/>
            <w:vAlign w:val="center"/>
          </w:tcPr>
          <w:p>
            <w:pPr>
              <w:pStyle w:val="TableContents"/>
              <w:bidi w:val="0"/>
              <w:spacing w:before="0" w:after="283"/>
              <w:jc w:val="right"/>
              <w:rPr/>
            </w:pPr>
            <w:r>
              <w:rPr/>
              <w:t> </w:t>
            </w:r>
          </w:p>
        </w:tc>
        <w:tc>
          <w:tcPr>
            <w:tcW w:w="2225" w:type="dxa"/>
            <w:tcBorders/>
            <w:vAlign w:val="center"/>
          </w:tcPr>
          <w:p>
            <w:pPr>
              <w:pStyle w:val="TableContents"/>
              <w:bidi w:val="0"/>
              <w:spacing w:before="0" w:after="283"/>
              <w:jc w:val="left"/>
              <w:rPr>
                <w:color w:val="191919"/>
              </w:rPr>
            </w:pPr>
            <w:r>
              <w:rPr>
                <w:color w:val="191919"/>
              </w:rPr>
              <w:t>Sæmundargata 15-19</w:t>
            </w:r>
          </w:p>
        </w:tc>
        <w:tc>
          <w:tcPr>
            <w:tcW w:w="2135" w:type="dxa"/>
            <w:tcBorders/>
            <w:vAlign w:val="center"/>
          </w:tcPr>
          <w:p>
            <w:pPr>
              <w:pStyle w:val="TableContents"/>
              <w:bidi w:val="0"/>
              <w:spacing w:before="0" w:after="283"/>
              <w:jc w:val="left"/>
              <w:rPr>
                <w:color w:val="191919"/>
              </w:rPr>
            </w:pPr>
            <w:r>
              <w:rPr>
                <w:color w:val="191919"/>
              </w:rPr>
              <w:t>Phone +354 422 4500</w:t>
            </w:r>
          </w:p>
        </w:tc>
        <w:tc>
          <w:tcPr>
            <w:tcW w:w="2945" w:type="dxa"/>
            <w:tcBorders/>
            <w:vAlign w:val="center"/>
          </w:tcPr>
          <w:p>
            <w:pPr>
              <w:pStyle w:val="TableContents"/>
              <w:bidi w:val="0"/>
              <w:spacing w:before="0" w:after="283"/>
              <w:jc w:val="left"/>
              <w:rPr>
                <w:color w:val="191919"/>
              </w:rPr>
            </w:pPr>
            <w:r>
              <w:rPr>
                <w:color w:val="191919"/>
              </w:rPr>
              <w:t>alvotech.media@alvotech.com</w:t>
            </w:r>
          </w:p>
        </w:tc>
      </w:tr>
      <w:tr>
        <w:trPr/>
        <w:tc>
          <w:tcPr>
            <w:tcW w:w="75"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color w:val="191919"/>
              </w:rPr>
            </w:pPr>
            <w:r>
              <w:rPr>
                <w:color w:val="191919"/>
              </w:rPr>
              <w:t>102 Reykjavík, Iceland</w:t>
            </w:r>
          </w:p>
        </w:tc>
        <w:tc>
          <w:tcPr>
            <w:tcW w:w="2135" w:type="dxa"/>
            <w:tcBorders/>
            <w:vAlign w:val="center"/>
          </w:tcPr>
          <w:p>
            <w:pPr>
              <w:pStyle w:val="TableContents"/>
              <w:bidi w:val="0"/>
              <w:spacing w:before="0" w:after="283"/>
              <w:jc w:val="left"/>
              <w:rPr>
                <w:color w:val="191919"/>
              </w:rPr>
            </w:pPr>
            <w:r>
              <w:rPr>
                <w:color w:val="191919"/>
              </w:rPr>
              <w:t> </w:t>
            </w:r>
          </w:p>
        </w:tc>
        <w:tc>
          <w:tcPr>
            <w:tcW w:w="2945" w:type="dxa"/>
            <w:tcBorders/>
            <w:vAlign w:val="center"/>
          </w:tcPr>
          <w:p>
            <w:pPr>
              <w:pStyle w:val="TableContents"/>
              <w:bidi w:val="0"/>
              <w:spacing w:before="0" w:after="283"/>
              <w:jc w:val="left"/>
              <w:rPr>
                <w:b/>
                <w:color w:val="E29E23"/>
              </w:rPr>
            </w:pPr>
            <w:r>
              <w:rPr>
                <w:b/>
                <w:color w:val="E29E23"/>
              </w:rPr>
              <w:t>www.alvotech.com</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jc w:val="left"/>
        <w:rPr>
          <w:caps w:val="false"/>
          <w:smallCaps w:val="false"/>
        </w:rPr>
      </w:pPr>
      <w:r>
        <w:rPr>
          <w:caps w:val="false"/>
          <w:smallCaps w:val="false"/>
        </w:rPr>
        <w:drawing>
          <wp:inline distT="0" distB="0" distL="0" distR="0">
            <wp:extent cx="1857375" cy="3238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857375" cy="323850"/>
                    </a:xfrm>
                    <a:prstGeom prst="rect">
                      <a:avLst/>
                    </a:prstGeom>
                  </pic:spPr>
                </pic:pic>
              </a:graphicData>
            </a:graphic>
          </wp:inline>
        </w:drawing>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With respect to the member States of the European Economic Area (a “Relevant Member State”), no action has been undertaken or will be undertaken to make an offer to the public of the shares referred to herein requiring a publication of a prospectus in any Relevant Member State. As a result, the shares may not and will not be offered in any Relevant Member State except in accordance with the exemptions set forth in Article 1(4) of the Prospectus Regulation or under any other circumstances which do not require the publication by the Company of a prospectus pursuant to Article 3 of the Prospectus Regulation and/or to applicable regulations of that Relevant Member State.</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 addition, in the United Kingdom, this announcement is directed at and for distribution only to Qualified Investors who are (i) persons who have professional experience in matters relating to investments falling within Article 19(5) of the Financial Services and Markets Act (Financial Promotion) Order 2005, as amended (the “Order”), or (ii) persons who are high net worth entities falling within Article 49(2)(a) to (d) of the Order, and (iii) other persons to whom this announcement may otherwise lawfully be communicated (all such persons together being referred to as “Relevant Persons”). The shares referred to herein are only available to, and any invitation, offer or agreement to subscribe, purchase or otherwise acquire such shares will be engaged in only with Relevant Persons. Any person who is not a Relevant Person should not act or rely on this communication or any of its contents.</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No announcement or information regarding this Offering may be disseminated to the public in jurisdictions where a prior registration or approval is required for such purpose. Other than the registration statement filed with the SEC, no steps have been taken, or will be taken, for the Offering of shares in any jurisdiction where such steps would be required. The issue or sale of shares, and the subscription for or purchase of shares, are subject to special legal or statutory restrictions in certain jurisdictions. This press release contains inside information within the meaning of MAR that Alvotech is legally obliged</w:t>
      </w:r>
    </w:p>
    <w:p>
      <w:pPr>
        <w:pStyle w:val="TextBody"/>
        <w:bidi w:val="0"/>
        <w:jc w:val="left"/>
        <w:rPr>
          <w:caps w:val="false"/>
          <w:smallCaps w:val="false"/>
        </w:rPr>
      </w:pPr>
      <w:r>
        <w:rPr>
          <w:caps w:val="false"/>
          <w:smallCaps w:val="false"/>
        </w:rPr>
        <w:t> </w:t>
      </w:r>
    </w:p>
    <w:tbl>
      <w:tblPr>
        <w:tblW w:w="7380" w:type="dxa"/>
        <w:jc w:val="left"/>
        <w:tblInd w:w="0" w:type="dxa"/>
        <w:tblLayout w:type="fixed"/>
        <w:tblCellMar>
          <w:top w:w="0" w:type="dxa"/>
          <w:left w:w="0" w:type="dxa"/>
          <w:bottom w:w="0" w:type="dxa"/>
          <w:right w:w="0" w:type="dxa"/>
        </w:tblCellMar>
      </w:tblPr>
      <w:tblGrid>
        <w:gridCol w:w="75"/>
        <w:gridCol w:w="2225"/>
        <w:gridCol w:w="2135"/>
        <w:gridCol w:w="2945"/>
      </w:tblGrid>
      <w:tr>
        <w:trPr/>
        <w:tc>
          <w:tcPr>
            <w:tcW w:w="75" w:type="dxa"/>
            <w:tcBorders/>
            <w:vAlign w:val="center"/>
          </w:tcPr>
          <w:p>
            <w:pPr>
              <w:pStyle w:val="TableContents"/>
              <w:bidi w:val="0"/>
              <w:spacing w:before="0" w:after="283"/>
              <w:jc w:val="right"/>
              <w:rPr/>
            </w:pPr>
            <w:r>
              <w:rPr/>
              <w:t> </w:t>
            </w:r>
          </w:p>
        </w:tc>
        <w:tc>
          <w:tcPr>
            <w:tcW w:w="2225" w:type="dxa"/>
            <w:tcBorders/>
            <w:vAlign w:val="center"/>
          </w:tcPr>
          <w:p>
            <w:pPr>
              <w:pStyle w:val="TableContents"/>
              <w:bidi w:val="0"/>
              <w:spacing w:before="0" w:after="283"/>
              <w:jc w:val="left"/>
              <w:rPr>
                <w:color w:val="191919"/>
              </w:rPr>
            </w:pPr>
            <w:r>
              <w:rPr>
                <w:color w:val="191919"/>
              </w:rPr>
              <w:t>Sæmundargata 15-19</w:t>
            </w:r>
          </w:p>
        </w:tc>
        <w:tc>
          <w:tcPr>
            <w:tcW w:w="2135" w:type="dxa"/>
            <w:tcBorders/>
            <w:vAlign w:val="center"/>
          </w:tcPr>
          <w:p>
            <w:pPr>
              <w:pStyle w:val="TableContents"/>
              <w:bidi w:val="0"/>
              <w:spacing w:before="0" w:after="283"/>
              <w:jc w:val="left"/>
              <w:rPr>
                <w:color w:val="191919"/>
              </w:rPr>
            </w:pPr>
            <w:r>
              <w:rPr>
                <w:color w:val="191919"/>
              </w:rPr>
              <w:t>Phone +354 422 4500</w:t>
            </w:r>
          </w:p>
        </w:tc>
        <w:tc>
          <w:tcPr>
            <w:tcW w:w="2945" w:type="dxa"/>
            <w:tcBorders/>
            <w:vAlign w:val="center"/>
          </w:tcPr>
          <w:p>
            <w:pPr>
              <w:pStyle w:val="TableContents"/>
              <w:bidi w:val="0"/>
              <w:spacing w:before="0" w:after="283"/>
              <w:jc w:val="left"/>
              <w:rPr>
                <w:color w:val="191919"/>
              </w:rPr>
            </w:pPr>
            <w:r>
              <w:rPr>
                <w:color w:val="191919"/>
              </w:rPr>
              <w:t>alvotech.media@alvotech.com</w:t>
            </w:r>
          </w:p>
        </w:tc>
      </w:tr>
      <w:tr>
        <w:trPr/>
        <w:tc>
          <w:tcPr>
            <w:tcW w:w="75"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color w:val="191919"/>
              </w:rPr>
            </w:pPr>
            <w:r>
              <w:rPr>
                <w:color w:val="191919"/>
              </w:rPr>
              <w:t>102 Reykjavík, Iceland</w:t>
            </w:r>
          </w:p>
        </w:tc>
        <w:tc>
          <w:tcPr>
            <w:tcW w:w="2135" w:type="dxa"/>
            <w:tcBorders/>
            <w:vAlign w:val="center"/>
          </w:tcPr>
          <w:p>
            <w:pPr>
              <w:pStyle w:val="TableContents"/>
              <w:bidi w:val="0"/>
              <w:spacing w:before="0" w:after="283"/>
              <w:jc w:val="left"/>
              <w:rPr>
                <w:color w:val="191919"/>
              </w:rPr>
            </w:pPr>
            <w:r>
              <w:rPr>
                <w:color w:val="191919"/>
              </w:rPr>
              <w:t> </w:t>
            </w:r>
          </w:p>
        </w:tc>
        <w:tc>
          <w:tcPr>
            <w:tcW w:w="2945" w:type="dxa"/>
            <w:tcBorders/>
            <w:vAlign w:val="center"/>
          </w:tcPr>
          <w:p>
            <w:pPr>
              <w:pStyle w:val="TableContents"/>
              <w:bidi w:val="0"/>
              <w:spacing w:before="0" w:after="283"/>
              <w:jc w:val="left"/>
              <w:rPr>
                <w:b/>
                <w:color w:val="E29E23"/>
              </w:rPr>
            </w:pPr>
            <w:r>
              <w:rPr>
                <w:b/>
                <w:color w:val="E29E23"/>
              </w:rPr>
              <w:t>www.alvotech.com</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jc w:val="left"/>
        <w:rPr>
          <w:caps w:val="false"/>
          <w:smallCaps w:val="false"/>
        </w:rPr>
      </w:pPr>
      <w:r>
        <w:rPr>
          <w:caps w:val="false"/>
          <w:smallCaps w:val="false"/>
        </w:rPr>
        <w:drawing>
          <wp:inline distT="0" distB="0" distL="0" distR="0">
            <wp:extent cx="1857375" cy="3238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857375" cy="323850"/>
                    </a:xfrm>
                    <a:prstGeom prst="rect">
                      <a:avLst/>
                    </a:prstGeom>
                  </pic:spPr>
                </pic:pic>
              </a:graphicData>
            </a:graphic>
          </wp:inline>
        </w:drawing>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to publish. The information was released for publication, through the agency of the contact persons below, at the date and time indicated by the dateline of publication.</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Forward Looking Statements</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Certain statements in this communication may be considered “forward-looking statements” within the meaning of the Private Securities Litigation Reform Act of 1995, as amended. Forward-looking statements include, but are not limited to, Alvotech’s expectations regarding the completion and timing of the Offering and the concurrent private placement, the potential exercise of the underwriters’ option to purchase additional shares, and the expected use of proceeds. In some cases, you can identify forward-looking statements by terminology such as “may”, “should”, “expect”, “intend”, “will”, “estimate”, “anticipate”, “believe”, “predict”, “potential”, “aim” or “continue”, or the negatives of these terms or variations of them or similar terminology. Such forward-looking statements are subject to risks, uncertainties, and other factors which could cause actual results to differ materially from those expressed or implied by such forward-looking statements. These forward-looking statements are based upon estimates and assumptions that, while considered reasonable by Alvotech and its management, are inherently uncertain and are inherently subject to risks, variability, and contingencies, many of which are beyond Alvotech’s control. Factors that may cause actual results to differ materially from current expectations include, but are not limited to: whether or not we will be able to consummate the Offering the final terms of the offering, the satisfaction of customary conditions precedent to close the proposed Offering and concurrent private placement, and other risks and uncertainties set forth in the sections entitled “Risk Factors” and “Cautionary Note Regarding Forward-Looking Statements” in documents that Alvotech may from time to time file or furnish with the SEC, including the final prospectus supplement and the accompanying prospectus related to this Offering and the Company’s most recent annual report on Form 20-F. There may be additional risks that Alvotech does not presently know or that Alvotech currently believes are immaterial that could also cause actual results to differ from those contained in the forward-looking statements. These forward-looking statements are provided for illustrative purposes only and are not intended to serve as a representation, guarantee, assurance, prediction or definitive statement of a fact or probability. You should not place undue reliance on forward-looking statements, which speak only as of the date they are made. Alvotech does not undertake any duty to update these forward-looking statements or to inform the recipient of any matters of which any of them becomes aware of which may affect any matter referred to in this communication.</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Media</w:t>
      </w:r>
      <w:r>
        <w:rPr>
          <w:rFonts w:ascii="Arial;Helvetica;Sans-Serif" w:hAnsi="Arial;Helvetica;Sans-Serif"/>
          <w:b w:val="false"/>
          <w:i w:val="false"/>
          <w:caps w:val="false"/>
          <w:smallCaps w:val="false"/>
          <w:sz w:val="20"/>
        </w:rPr>
        <w:br/>
        <w:t>Benedikt Stefansson</w:t>
        <w:br/>
        <w:t>Sarah MacLeod</w:t>
        <w:br/>
      </w:r>
      <w:r>
        <w:rPr>
          <w:rFonts w:ascii="Arial;Helvetica;Sans-Serif" w:hAnsi="Arial;Helvetica;Sans-Serif"/>
          <w:b w:val="false"/>
          <w:i w:val="false"/>
          <w:caps w:val="false"/>
          <w:smallCaps w:val="false"/>
          <w:color w:val="0000FF"/>
          <w:sz w:val="20"/>
          <w:u w:val="single"/>
        </w:rPr>
        <w:t>alvotech.media@alvotech.com</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Investors</w:t>
      </w:r>
      <w:r>
        <w:rPr>
          <w:rFonts w:ascii="Arial;Helvetica;Sans-Serif" w:hAnsi="Arial;Helvetica;Sans-Serif"/>
          <w:b w:val="false"/>
          <w:i w:val="false"/>
          <w:caps w:val="false"/>
          <w:smallCaps w:val="false"/>
          <w:sz w:val="20"/>
        </w:rPr>
        <w:br/>
        <w:t>Dr. Balaji V Prasad</w:t>
        <w:br/>
        <w:t>Benedikt Stefansson</w:t>
        <w:br/>
      </w:r>
      <w:r>
        <w:rPr>
          <w:rFonts w:ascii="Arial;Helvetica;Sans-Serif" w:hAnsi="Arial;Helvetica;Sans-Serif"/>
          <w:b w:val="false"/>
          <w:i w:val="false"/>
          <w:caps w:val="false"/>
          <w:smallCaps w:val="false"/>
          <w:color w:val="0000FF"/>
          <w:sz w:val="20"/>
          <w:u w:val="single"/>
        </w:rPr>
        <w:t>alvotech.ir@alvotech.com</w:t>
      </w:r>
    </w:p>
    <w:p>
      <w:pPr>
        <w:pStyle w:val="TextBody"/>
        <w:bidi w:val="0"/>
        <w:jc w:val="left"/>
        <w:rPr>
          <w:caps w:val="false"/>
          <w:smallCaps w:val="false"/>
        </w:rPr>
      </w:pPr>
      <w:r>
        <w:rPr>
          <w:caps w:val="false"/>
          <w:smallCaps w:val="false"/>
        </w:rPr>
        <w:t> </w:t>
      </w:r>
    </w:p>
    <w:tbl>
      <w:tblPr>
        <w:tblW w:w="7380" w:type="dxa"/>
        <w:jc w:val="left"/>
        <w:tblInd w:w="0" w:type="dxa"/>
        <w:tblLayout w:type="fixed"/>
        <w:tblCellMar>
          <w:top w:w="0" w:type="dxa"/>
          <w:left w:w="0" w:type="dxa"/>
          <w:bottom w:w="0" w:type="dxa"/>
          <w:right w:w="0" w:type="dxa"/>
        </w:tblCellMar>
      </w:tblPr>
      <w:tblGrid>
        <w:gridCol w:w="75"/>
        <w:gridCol w:w="2225"/>
        <w:gridCol w:w="2135"/>
        <w:gridCol w:w="2945"/>
      </w:tblGrid>
      <w:tr>
        <w:trPr/>
        <w:tc>
          <w:tcPr>
            <w:tcW w:w="75" w:type="dxa"/>
            <w:tcBorders/>
            <w:vAlign w:val="center"/>
          </w:tcPr>
          <w:p>
            <w:pPr>
              <w:pStyle w:val="TableContents"/>
              <w:bidi w:val="0"/>
              <w:spacing w:before="0" w:after="283"/>
              <w:jc w:val="right"/>
              <w:rPr/>
            </w:pPr>
            <w:r>
              <w:rPr/>
              <w:t> </w:t>
            </w:r>
          </w:p>
        </w:tc>
        <w:tc>
          <w:tcPr>
            <w:tcW w:w="2225" w:type="dxa"/>
            <w:tcBorders/>
            <w:vAlign w:val="center"/>
          </w:tcPr>
          <w:p>
            <w:pPr>
              <w:pStyle w:val="TableContents"/>
              <w:bidi w:val="0"/>
              <w:spacing w:before="0" w:after="283"/>
              <w:jc w:val="left"/>
              <w:rPr>
                <w:color w:val="191919"/>
              </w:rPr>
            </w:pPr>
            <w:r>
              <w:rPr>
                <w:color w:val="191919"/>
              </w:rPr>
              <w:t>Sæmundargata 15-19</w:t>
            </w:r>
          </w:p>
        </w:tc>
        <w:tc>
          <w:tcPr>
            <w:tcW w:w="2135" w:type="dxa"/>
            <w:tcBorders/>
            <w:vAlign w:val="center"/>
          </w:tcPr>
          <w:p>
            <w:pPr>
              <w:pStyle w:val="TableContents"/>
              <w:bidi w:val="0"/>
              <w:spacing w:before="0" w:after="283"/>
              <w:jc w:val="left"/>
              <w:rPr>
                <w:color w:val="191919"/>
              </w:rPr>
            </w:pPr>
            <w:r>
              <w:rPr>
                <w:color w:val="191919"/>
              </w:rPr>
              <w:t>Phone +354 422 4500</w:t>
            </w:r>
          </w:p>
        </w:tc>
        <w:tc>
          <w:tcPr>
            <w:tcW w:w="2945" w:type="dxa"/>
            <w:tcBorders/>
            <w:vAlign w:val="center"/>
          </w:tcPr>
          <w:p>
            <w:pPr>
              <w:pStyle w:val="TableContents"/>
              <w:bidi w:val="0"/>
              <w:spacing w:before="0" w:after="283"/>
              <w:jc w:val="left"/>
              <w:rPr>
                <w:color w:val="191919"/>
              </w:rPr>
            </w:pPr>
            <w:r>
              <w:rPr>
                <w:color w:val="191919"/>
              </w:rPr>
              <w:t>alvotech.media@alvotech.com</w:t>
            </w:r>
          </w:p>
        </w:tc>
      </w:tr>
      <w:tr>
        <w:trPr/>
        <w:tc>
          <w:tcPr>
            <w:tcW w:w="75"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color w:val="191919"/>
              </w:rPr>
            </w:pPr>
            <w:r>
              <w:rPr>
                <w:color w:val="191919"/>
              </w:rPr>
              <w:t>102 Reykjavík, Iceland</w:t>
            </w:r>
          </w:p>
        </w:tc>
        <w:tc>
          <w:tcPr>
            <w:tcW w:w="2135" w:type="dxa"/>
            <w:tcBorders/>
            <w:vAlign w:val="center"/>
          </w:tcPr>
          <w:p>
            <w:pPr>
              <w:pStyle w:val="TableContents"/>
              <w:bidi w:val="0"/>
              <w:spacing w:before="0" w:after="283"/>
              <w:jc w:val="left"/>
              <w:rPr>
                <w:color w:val="191919"/>
              </w:rPr>
            </w:pPr>
            <w:r>
              <w:rPr>
                <w:color w:val="191919"/>
              </w:rPr>
              <w:t> </w:t>
            </w:r>
          </w:p>
        </w:tc>
        <w:tc>
          <w:tcPr>
            <w:tcW w:w="2945" w:type="dxa"/>
            <w:tcBorders/>
            <w:vAlign w:val="center"/>
          </w:tcPr>
          <w:p>
            <w:pPr>
              <w:pStyle w:val="TableContents"/>
              <w:bidi w:val="0"/>
              <w:spacing w:before="0" w:after="283"/>
              <w:jc w:val="left"/>
              <w:rPr>
                <w:b/>
                <w:color w:val="E29E23"/>
              </w:rPr>
            </w:pPr>
            <w:r>
              <w:rPr>
                <w:b/>
                <w:color w:val="E29E23"/>
              </w:rPr>
              <w:t>www.alvotech.com</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2.jpeg"/><Relationship Id="rId7" Type="http://schemas.openxmlformats.org/officeDocument/2006/relationships/image" Target="media/image2.jpeg"/><Relationship Id="rId8" Type="http://schemas.openxmlformats.org/officeDocument/2006/relationships/image" Target="media/image2.jpeg"/><Relationship Id="rId9" Type="http://schemas.openxmlformats.org/officeDocument/2006/relationships/image" Target="media/image2.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44</Pages>
  <Words>40733</Words>
  <Characters>219082</Characters>
  <CharactersWithSpaces>259737</CharactersWithSpaces>
  <Paragraphs>1435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